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黑体" w:hAnsi="黑体" w:eastAsia="黑体" w:cs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工程造价专业人才培养方案</w:t>
      </w:r>
    </w:p>
    <w:p>
      <w:pPr>
        <w:pStyle w:val="2"/>
        <w:ind w:firstLine="562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一、专业名称及代码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工程造价（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540502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）。</w:t>
      </w:r>
    </w:p>
    <w:p>
      <w:pPr>
        <w:pStyle w:val="2"/>
        <w:ind w:firstLine="562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二、入学要求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高中阶段教育毕业生或具有同等学力者。</w:t>
      </w:r>
    </w:p>
    <w:p>
      <w:pPr>
        <w:pStyle w:val="2"/>
        <w:ind w:firstLine="562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三、基本修业年限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三年。</w:t>
      </w:r>
    </w:p>
    <w:p>
      <w:pPr>
        <w:pStyle w:val="2"/>
        <w:numPr>
          <w:ilvl w:val="0"/>
          <w:numId w:val="1"/>
        </w:numPr>
        <w:ind w:firstLine="562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职业面向</w:t>
      </w:r>
    </w:p>
    <w:p>
      <w:pPr>
        <w:overflowPunct w:val="0"/>
        <w:adjustRightInd w:val="0"/>
        <w:ind w:firstLine="422" w:firstLineChars="200"/>
        <w:jc w:val="center"/>
        <w:outlineLvl w:val="0"/>
        <w:rPr>
          <w:rFonts w:ascii="宋体" w:hAns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0" w:name="_Hlk17107886"/>
      <w:r>
        <w:rPr>
          <w:rFonts w:hint="eastAsia" w:ascii="宋体" w:hAns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表1</w:t>
      </w:r>
      <w:r>
        <w:rPr>
          <w:rFonts w:ascii="宋体" w:hAns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职业面向列表</w:t>
      </w:r>
    </w:p>
    <w:bookmarkEnd w:id="0"/>
    <w:tbl>
      <w:tblPr>
        <w:tblStyle w:val="7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83"/>
        <w:gridCol w:w="1889"/>
        <w:gridCol w:w="2503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vAlign w:val="center"/>
          </w:tcPr>
          <w:p>
            <w:pPr>
              <w:overflowPunct w:val="0"/>
              <w:adjustRightInd w:val="0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所属专业大类（代码）</w:t>
            </w:r>
          </w:p>
        </w:tc>
        <w:tc>
          <w:tcPr>
            <w:tcW w:w="1683" w:type="dxa"/>
            <w:vAlign w:val="center"/>
          </w:tcPr>
          <w:p>
            <w:pPr>
              <w:overflowPunct w:val="0"/>
              <w:adjustRightInd w:val="0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所属专业类（代码）</w:t>
            </w:r>
          </w:p>
        </w:tc>
        <w:tc>
          <w:tcPr>
            <w:tcW w:w="1889" w:type="dxa"/>
            <w:vAlign w:val="center"/>
          </w:tcPr>
          <w:p>
            <w:pPr>
              <w:overflowPunct w:val="0"/>
              <w:adjustRightInd w:val="0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对应行业</w:t>
            </w:r>
          </w:p>
          <w:p>
            <w:pPr>
              <w:overflowPunct w:val="0"/>
              <w:adjustRightInd w:val="0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（代码）</w:t>
            </w:r>
          </w:p>
        </w:tc>
        <w:tc>
          <w:tcPr>
            <w:tcW w:w="2503" w:type="dxa"/>
            <w:vAlign w:val="center"/>
          </w:tcPr>
          <w:p>
            <w:pPr>
              <w:overflowPunct w:val="0"/>
              <w:adjustRightInd w:val="0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主要职业类别</w:t>
            </w:r>
          </w:p>
          <w:p>
            <w:pPr>
              <w:overflowPunct w:val="0"/>
              <w:adjustRightInd w:val="0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（代码）</w:t>
            </w:r>
          </w:p>
        </w:tc>
        <w:tc>
          <w:tcPr>
            <w:tcW w:w="1883" w:type="dxa"/>
            <w:vAlign w:val="center"/>
          </w:tcPr>
          <w:p>
            <w:pPr>
              <w:overflowPunct w:val="0"/>
              <w:adjustRightInd w:val="0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主要岗位群或技术领域举例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</w:tcPr>
          <w:p>
            <w:pPr>
              <w:overflowPunct w:val="0"/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土木建筑大类（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83" w:type="dxa"/>
          </w:tcPr>
          <w:p>
            <w:pPr>
              <w:overflowPunct w:val="0"/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建筑工程管理（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5405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89" w:type="dxa"/>
          </w:tcPr>
          <w:p>
            <w:pPr>
              <w:overflowPunct w:val="0"/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专业技术服务业（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74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503" w:type="dxa"/>
          </w:tcPr>
          <w:p>
            <w:pPr>
              <w:overflowPunct w:val="0"/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工程造价工程技术人员（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2-02-30-10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83" w:type="dxa"/>
          </w:tcPr>
          <w:p>
            <w:pPr>
              <w:overflowPunct w:val="0"/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</w:tr>
    </w:tbl>
    <w:p>
      <w:pPr>
        <w:pStyle w:val="2"/>
        <w:ind w:firstLine="56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ind w:firstLine="562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五、培养目标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专业培养理想信念坚定，德、智、体、美、劳全面发展，具有一定的科学文化水平，良好的人文素养、职业道德和创新意识，精益求精的工匠精神，较强的就业能力和可持续发展的能力；掌握本专业知识和技术技能，面向专业技术服务业的工程造价工程技术人员职业群（或技术技能领域），能够从事工程造价等工作的高素质技术技能人才。</w:t>
      </w:r>
    </w:p>
    <w:p>
      <w:pPr>
        <w:pStyle w:val="2"/>
        <w:ind w:firstLine="562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六、培养规格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本专业毕业生应在素质、知识和能力等方面达到以下要求。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1.素质要求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（1）坚定拥护中国共产党领导和我国社会主义制度，在习近平新时代中国特色社会主义思想指引下，践行社会主义核心价值观，具有深厚的爱国情感和中华民族自豪感；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（2）崇尚宪法、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遵法守纪、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崇德向善、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诚实守信、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尊重生命、热爱劳动，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履行道德准则和行为规范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，具有社会责任感和社会参与意识；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（3）具有质量意识、环保意识、安全意识、信息素养、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工匠精神、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创新思维；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（4）勇于奋斗、乐观向上，具有自我管理能力、职业生涯规划的意识，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有较强的集体意识和团队合作精神；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（5）具有健康的体魄、心理和健全的人格，掌握基本运动知识和一两项运动技能，养成良好的健身与卫生习惯，良好的行为习惯；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（6）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具有吃苦耐劳的精神，善于沟通表达。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2.知识要求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（1）掌握必备的思想政治理论、科学文化基础知识和中华优秀传统文化知识；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（2）熟悉与本专业相关的法律法规以及环境保护、安全消防等相关知识；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（3）掌握常用建筑材料的名称、规格性能、检验方法、储备保管、使用等方面的知识；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（4）了解投影原理，熟悉制图标准和施工图绘制知识；熟悉房屋构造知识；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（5）熟悉建筑工程施工工艺知识；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（6）熟悉项目管理原理，掌握建筑工程项目管理知识；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（7）熟悉工程施工组织设计知识；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（8）熟悉工程资料的收集、整理、归档、使用知识；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（9）掌握工程造价原理和工程造价计价知识；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（10）掌握工程造价控制基本知识；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（11）熟悉基于BIM确定工程造价知识；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（12）熟悉编制计价定额的知识；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（13）掌握建筑工程概预算、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工程量清单、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工程量清单计价、工程结算编制方法知识；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（14）了解经济法基础知识，熟悉与建筑市场相关的建设合同与建设法规知识；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（15）掌握工程招投标与合同管理的基本知识。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3.能力要求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（1）具有探究学习、终身学习、分析问题和解决问题的能力；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（2）具有良好的语言、文字表达能力和沟通能力；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（3）具有施工图绘制和识图能力；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（4）能够完成建筑统计指标的计算和分析；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（5）能够编制建筑工程预算、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工程量清单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和工程量清单报价；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（6）能够与团队合作完成工程投标报价的各项工作；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（7）能够处理工程变更、价格调整等引起的工程造价变化工作；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（8）能够编制工程结算；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（9）能够参与企业基层组织经营管理和施工项目管理工作；</w:t>
      </w:r>
    </w:p>
    <w:p>
      <w:pPr>
        <w:overflowPunct w:val="0"/>
        <w:adjustRightIn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（10）能够运用BIM软件进行工程造价管理。</w:t>
      </w:r>
    </w:p>
    <w:p>
      <w:pPr>
        <w:pStyle w:val="2"/>
        <w:ind w:firstLine="562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七、课程设置与学时安排</w:t>
      </w:r>
    </w:p>
    <w:p>
      <w:pPr>
        <w:overflowPunct w:val="0"/>
        <w:adjustRightInd w:val="0"/>
        <w:spacing w:line="360" w:lineRule="auto"/>
        <w:ind w:firstLine="482" w:firstLineChars="200"/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（一）课程设置</w:t>
      </w:r>
    </w:p>
    <w:p>
      <w:pPr>
        <w:overflowPunct w:val="0"/>
        <w:adjustRightInd w:val="0"/>
        <w:spacing w:line="360" w:lineRule="auto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本专业课程主要包括公共基础课程和专业技能课程。</w:t>
      </w:r>
    </w:p>
    <w:p>
      <w:pPr>
        <w:overflowPunct w:val="0"/>
        <w:adjustRightInd w:val="0"/>
        <w:spacing w:line="360" w:lineRule="auto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1.公共基础课程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（1）必修课：思想道德修养与法律基础、毛泽东思想和中国特色社会主义理论体系概论、经济数学、大学英语、体育、形势与政策、心理健康教育、职业发展与就业指导、创新创业教育、军事理论、军事技能。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（2）限定选修课：现代信息技术、大学语文、安全教育、健康教育、美育教育、人工智能基础、中华优秀传统文化。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2.专业技能课程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专业技能课程一般包括专业必修课程、专业核心课程、专业选修课程，并涵盖有关实践性教学环节。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（1）专业必修课程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建筑与装饰材料、建筑识图与制图、建筑构造、建筑施工工艺、安装工程识图、工程合同管理与招投标实训、BIM建模基础与应用、安装工程造价实训、建筑工程项目管理与实训、工程造价技能竞赛。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（2）专业核心课程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工程概预算、平法识图与钢筋算量、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建筑工程计量与计价、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BIM造价软件应用、工程结算、工程造价综合实训。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专业选修课程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劳动实践、社会人文与科学素养、土建专业英语、建筑工程技术资料管理、建筑法规、工程经济学。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3.专业核心课程主要教学内容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专业核心课程主要教学内容如表 2 所示。</w:t>
      </w:r>
    </w:p>
    <w:p>
      <w:pPr>
        <w:spacing w:line="360" w:lineRule="auto"/>
        <w:jc w:val="center"/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表 2 专业核心课程主要教学内容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210"/>
        <w:gridCol w:w="5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67" w:type="pct"/>
          </w:tcPr>
          <w:p>
            <w:pPr>
              <w:pStyle w:val="14"/>
              <w:spacing w:before="87"/>
              <w:ind w:left="16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3281" w:type="pct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主要教学内容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pct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7" w:type="pct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工程概预算</w:t>
            </w:r>
          </w:p>
        </w:tc>
        <w:tc>
          <w:tcPr>
            <w:tcW w:w="3281" w:type="pct"/>
          </w:tcPr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工程建设概预算概述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工程造价构成与计算；工程建设定额原理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工程计价依据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建筑工程定额计价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设计概算；投资估算。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67" w:type="pct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平法识图与钢筋算量</w:t>
            </w:r>
          </w:p>
        </w:tc>
        <w:tc>
          <w:tcPr>
            <w:tcW w:w="3281" w:type="pct"/>
          </w:tcPr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钢筋与平法基本知识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基础平法制图规则及钢筋计算；梁平法施工图制图规则及钢筋计算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柱平法施工图制图规则及钢筋计算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楼板（屋面板）平法制图规则及钢筋计算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剪力墙平法施工图制图规则及钢筋计算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钢筋计算综合训练。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67" w:type="pct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建筑工程计量与计价</w:t>
            </w:r>
          </w:p>
        </w:tc>
        <w:tc>
          <w:tcPr>
            <w:tcW w:w="3281" w:type="pct"/>
          </w:tcPr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工程造价基础认知；建筑面积计算；工程量清单编制：</w:t>
            </w: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土石方工程清单编制、现浇混凝土工程清单编制、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门窗及砌筑工程清单编制、屋面防水及保温工程清单编制、装饰装修工程清单编制、 措施项目清单编制；</w:t>
            </w: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工程量清单计价：建筑工程清单计价、装饰装修工程清单计价、措施项目清单计价、规费、税金及其他项目清单计价、清单计价文件汇总。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7" w:type="pct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BIM造价软件应用</w:t>
            </w:r>
          </w:p>
        </w:tc>
        <w:tc>
          <w:tcPr>
            <w:tcW w:w="3281" w:type="pct"/>
          </w:tcPr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课程基础认知；某框架结构工程钢筋工程量计算；某框架结构工程土建工程量计算；某剪力墙结构工程的钢筋工程量计算；某剪力墙结构工程的土建工程量计算；清单计价软件应用。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7" w:type="pct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工程结算</w:t>
            </w:r>
          </w:p>
        </w:tc>
        <w:tc>
          <w:tcPr>
            <w:tcW w:w="3281" w:type="pct"/>
          </w:tcPr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工程结算概述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工程结算格式与内容；工程结算编制依据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工程结算的编制程序与方法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工程结算编制实例。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67" w:type="pct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工程造价综合实训</w:t>
            </w:r>
          </w:p>
        </w:tc>
        <w:tc>
          <w:tcPr>
            <w:tcW w:w="3281" w:type="pct"/>
          </w:tcPr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工程量清单的编制；投标文件的编制；施工过程中的造价管理；工程结算及商务谈判。</w:t>
            </w:r>
          </w:p>
        </w:tc>
      </w:tr>
    </w:tbl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4.实践性教学环节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实践性教学环节主要包括实验、实训、实习、毕业设计、顶岗实习等。在校内外进行工程预算、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工程量清单编制、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工程量清单报价、工程结算等综合实训。 工程认识、顶岗实习可由学校组织在建筑企业开展完成。应严格执行《职业学校学生实习管理规定》和《高等职业学校工程造价专业顶岗实习标准》。</w:t>
      </w:r>
    </w:p>
    <w:p>
      <w:pPr>
        <w:overflowPunct w:val="0"/>
        <w:adjustRightInd w:val="0"/>
        <w:spacing w:line="360" w:lineRule="auto"/>
        <w:ind w:firstLine="482" w:firstLineChars="200"/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(二) 学时安排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总学时为2696学时，每16 ~18学时折算1学分。公共基础课总学时为704学时，占总学时26%。实践性教学总学时1682学时，占总学时62%。顶岗实习学时为600学时，累计时间一般为6个月。各类选修课程总学时348学时，占总学时的13%。</w:t>
      </w:r>
    </w:p>
    <w:p>
      <w:pPr>
        <w:pStyle w:val="2"/>
        <w:numPr>
          <w:ilvl w:val="0"/>
          <w:numId w:val="3"/>
        </w:numPr>
        <w:ind w:firstLine="562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教学进程安排</w:t>
      </w:r>
    </w:p>
    <w:p>
      <w:pPr>
        <w:spacing w:line="360" w:lineRule="auto"/>
        <w:jc w:val="center"/>
        <w:outlineLvl w:val="1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表3 工程造价专业教学计划进程表</w:t>
      </w:r>
    </w:p>
    <w:tbl>
      <w:tblPr>
        <w:tblStyle w:val="7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"/>
        <w:gridCol w:w="425"/>
        <w:gridCol w:w="284"/>
        <w:gridCol w:w="2117"/>
        <w:gridCol w:w="860"/>
        <w:gridCol w:w="557"/>
        <w:gridCol w:w="425"/>
        <w:gridCol w:w="426"/>
        <w:gridCol w:w="435"/>
        <w:gridCol w:w="567"/>
        <w:gridCol w:w="293"/>
        <w:gridCol w:w="284"/>
        <w:gridCol w:w="550"/>
        <w:gridCol w:w="550"/>
        <w:gridCol w:w="551"/>
        <w:gridCol w:w="550"/>
        <w:gridCol w:w="550"/>
        <w:gridCol w:w="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tblHeader/>
          <w:jc w:val="center"/>
        </w:trPr>
        <w:tc>
          <w:tcPr>
            <w:tcW w:w="25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42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211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86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课程编码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29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28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330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tblHeader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2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理论教学</w:t>
            </w:r>
          </w:p>
        </w:tc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实验实训</w:t>
            </w:r>
          </w:p>
        </w:tc>
        <w:tc>
          <w:tcPr>
            <w:tcW w:w="43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集中实践教学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第一学年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第二学年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第三学年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tblHeader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tblHeader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16/18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18/20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18/20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18/20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18/20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1" w:name="_Hlk17471318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公共基础课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必修课</w:t>
            </w: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思想道德修养与法律基础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11020001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3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毛泽东思想和中国特色社会主义理论体系概论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11020002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3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4*16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经济数学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11010005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4*16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大学英语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05030004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87010002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形势与政策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11020003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4*2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4*2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4*2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4*2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心理健康教育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11040002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2*8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2*8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职业发展与就业指导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11050004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4*2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4*2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4*2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4*2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创新创业教育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11050002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4*8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军事理论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11020004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军事技能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11030073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2周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2周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限定选修课</w:t>
            </w: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现代信息技术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02040001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大学语文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11030002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3*16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安全教育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11030076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4*4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健康教育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11040001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4*4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美育教育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11030075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4*4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人工智能基础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11030077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4*4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中华优秀传统文化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11030078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4*4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704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484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专业技能课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必修课</w:t>
            </w: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建筑与装饰材料</w:t>
            </w:r>
          </w:p>
        </w:tc>
        <w:tc>
          <w:tcPr>
            <w:tcW w:w="860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08022008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建筑识图与制图</w:t>
            </w:r>
          </w:p>
        </w:tc>
        <w:tc>
          <w:tcPr>
            <w:tcW w:w="860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08012022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建筑构造</w:t>
            </w:r>
          </w:p>
        </w:tc>
        <w:tc>
          <w:tcPr>
            <w:tcW w:w="860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08012023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建筑施工工艺</w:t>
            </w:r>
          </w:p>
        </w:tc>
        <w:tc>
          <w:tcPr>
            <w:tcW w:w="860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08012016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平法识图与钢筋算量*</w:t>
            </w:r>
          </w:p>
        </w:tc>
        <w:tc>
          <w:tcPr>
            <w:tcW w:w="860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08012011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工程概预算*</w:t>
            </w:r>
          </w:p>
        </w:tc>
        <w:tc>
          <w:tcPr>
            <w:tcW w:w="860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08012012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安装工程识图</w:t>
            </w:r>
          </w:p>
        </w:tc>
        <w:tc>
          <w:tcPr>
            <w:tcW w:w="860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08011002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vAlign w:val="center"/>
          </w:tcPr>
          <w:p>
            <w:pPr>
              <w:ind w:firstLine="90" w:firstLineChars="50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建筑工程计量与计价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60" w:type="dxa"/>
          </w:tcPr>
          <w:p>
            <w:pPr>
              <w:autoSpaceDN w:val="0"/>
              <w:spacing w:beforeAutospacing="1" w:afterAutospacing="1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08012015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工程合同管理与招投标实训</w:t>
            </w:r>
          </w:p>
        </w:tc>
        <w:tc>
          <w:tcPr>
            <w:tcW w:w="860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08013001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BIM建模基础与应用 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08012019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工程结算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60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08012009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4*16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安装工程造价实训</w:t>
            </w:r>
          </w:p>
        </w:tc>
        <w:tc>
          <w:tcPr>
            <w:tcW w:w="860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08013008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BIM造价软件应用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60" w:type="dxa"/>
          </w:tcPr>
          <w:p>
            <w:pPr>
              <w:autoSpaceDN w:val="0"/>
              <w:spacing w:beforeAutospacing="1" w:afterAutospacing="1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08013009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建筑工程项目管理与实训</w:t>
            </w:r>
          </w:p>
        </w:tc>
        <w:tc>
          <w:tcPr>
            <w:tcW w:w="860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08012018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工程造价综合实训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08013018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6*10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工程造价技能竞赛</w:t>
            </w:r>
          </w:p>
        </w:tc>
        <w:tc>
          <w:tcPr>
            <w:tcW w:w="860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08013019</w:t>
            </w:r>
          </w:p>
        </w:tc>
        <w:tc>
          <w:tcPr>
            <w:tcW w:w="557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8*4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8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选修课</w:t>
            </w: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劳动实践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11030072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4*8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社会人文与科学素养Δ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11030080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4*4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土建专业英语</w:t>
            </w:r>
          </w:p>
        </w:tc>
        <w:tc>
          <w:tcPr>
            <w:tcW w:w="860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08012014</w:t>
            </w:r>
          </w:p>
        </w:tc>
        <w:tc>
          <w:tcPr>
            <w:tcW w:w="557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425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426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35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3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0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3*18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建筑工程技术资料管理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08022010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3*18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建筑法规</w:t>
            </w:r>
          </w:p>
        </w:tc>
        <w:tc>
          <w:tcPr>
            <w:tcW w:w="860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08012020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35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6*9</w:t>
            </w: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工程经济学</w:t>
            </w:r>
          </w:p>
        </w:tc>
        <w:tc>
          <w:tcPr>
            <w:tcW w:w="860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08011004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35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6*9</w:t>
            </w: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1232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530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702</w:t>
            </w:r>
          </w:p>
        </w:tc>
        <w:tc>
          <w:tcPr>
            <w:tcW w:w="43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93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51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实习环节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认知实习</w:t>
            </w:r>
          </w:p>
        </w:tc>
        <w:tc>
          <w:tcPr>
            <w:tcW w:w="860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08013004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35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4*2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4*2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顶岗实习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08013012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10周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616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10周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毕业环节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毕业设计</w:t>
            </w:r>
          </w:p>
        </w:tc>
        <w:tc>
          <w:tcPr>
            <w:tcW w:w="860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08013014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307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总课时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2696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1014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938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744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cs="仿宋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说明：</w:t>
      </w:r>
      <w:r>
        <w:rPr>
          <w:rFonts w:cs="仿宋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</w:t>
      </w:r>
      <w:r>
        <w:rPr>
          <w:rFonts w:hint="eastAsia" w:cs="仿宋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专业核心课程名称后加“</w:t>
      </w:r>
      <w:r>
        <w:rPr>
          <w:rFonts w:cs="仿宋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*</w:t>
      </w:r>
      <w:r>
        <w:rPr>
          <w:rFonts w:hint="eastAsia" w:cs="仿宋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”号表示；</w:t>
      </w:r>
    </w:p>
    <w:p>
      <w:pPr>
        <w:overflowPunct w:val="0"/>
        <w:snapToGrid w:val="0"/>
        <w:ind w:firstLine="540" w:firstLineChars="300"/>
        <w:rPr>
          <w:rFonts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2.专题讲座名称后加“Δ”号表示。</w:t>
      </w:r>
    </w:p>
    <w:p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3"/>
        </w:numPr>
        <w:ind w:firstLine="562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专业办学基本条件</w:t>
      </w:r>
    </w:p>
    <w:p>
      <w:pPr>
        <w:numPr>
          <w:ilvl w:val="0"/>
          <w:numId w:val="4"/>
        </w:numPr>
        <w:spacing w:line="360" w:lineRule="auto"/>
        <w:ind w:firstLine="482" w:firstLineChars="200"/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专业教学团队</w:t>
      </w:r>
    </w:p>
    <w:p>
      <w:pPr>
        <w:numPr>
          <w:ilvl w:val="0"/>
          <w:numId w:val="5"/>
        </w:numPr>
        <w:spacing w:line="360" w:lineRule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队伍结构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学生数与本专业专任教师数比例不高于25:1，双师素质教师占专业教师比例一般不低于90%，专任教师队伍要在职称、年龄方面形成合理的梯队结构。</w:t>
      </w:r>
    </w:p>
    <w:p>
      <w:pPr>
        <w:numPr>
          <w:ilvl w:val="0"/>
          <w:numId w:val="5"/>
        </w:numPr>
        <w:spacing w:line="360" w:lineRule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专任教师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专任教师应具有高校教师资格；有理想信念、有道德情操、有扎实学识、有仁爱之心；具有工程造价等相关专业本科及以上学历；具有扎实的本专业相关理论功底和实践能力；具有较强信息化教学能力，能够开展课程教学改革和科学研究；有每5年累计不少于6个月的企业实践经历。</w:t>
      </w:r>
    </w:p>
    <w:p>
      <w:pPr>
        <w:numPr>
          <w:ilvl w:val="0"/>
          <w:numId w:val="5"/>
        </w:numPr>
        <w:spacing w:line="360" w:lineRule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专业带头人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专业带头人应具有副高及以上职称，能够较好地把握国内外建筑行业、造价专业发展，能广泛联系行业企业，了解行业企业对本专业人才的需求实际，教学设计、专业研究能力强，组织开展教科研工作能力强，在本区域或本领域具有一定的专业影响力。</w:t>
      </w:r>
    </w:p>
    <w:p>
      <w:pPr>
        <w:numPr>
          <w:ilvl w:val="0"/>
          <w:numId w:val="5"/>
        </w:numPr>
        <w:spacing w:line="360" w:lineRule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兼职教师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兼职教师主要从本专业相关的行业企业聘任，具备良好的思想政治素质、职业道德和工匠精神，具有扎实的专业知识和丰富的实际工作经验，具有中级及以上相关专业职称，有5年以上造价相关工作经验，能承担专业课程教学、实习实训指导和学生职业发展规划指导等教学任务。</w:t>
      </w:r>
    </w:p>
    <w:p>
      <w:pPr>
        <w:numPr>
          <w:ilvl w:val="0"/>
          <w:numId w:val="4"/>
        </w:numPr>
        <w:spacing w:line="360" w:lineRule="auto"/>
        <w:ind w:firstLine="482" w:firstLineChars="200"/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教学设施</w:t>
      </w:r>
    </w:p>
    <w:p>
      <w:pPr>
        <w:numPr>
          <w:ilvl w:val="0"/>
          <w:numId w:val="6"/>
        </w:numPr>
        <w:tabs>
          <w:tab w:val="left" w:pos="312"/>
        </w:tabs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校内实训条件</w:t>
      </w:r>
    </w:p>
    <w:p>
      <w:pPr>
        <w:spacing w:line="360" w:lineRule="auto"/>
        <w:jc w:val="center"/>
        <w:outlineLvl w:val="1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表9 工程造价专业校内实训条件</w:t>
      </w:r>
    </w:p>
    <w:tbl>
      <w:tblPr>
        <w:tblStyle w:val="7"/>
        <w:tblW w:w="8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391"/>
        <w:gridCol w:w="1947"/>
        <w:gridCol w:w="4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3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实训室名称</w:t>
            </w:r>
          </w:p>
        </w:tc>
        <w:tc>
          <w:tcPr>
            <w:tcW w:w="194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功能</w:t>
            </w:r>
          </w:p>
        </w:tc>
        <w:tc>
          <w:tcPr>
            <w:tcW w:w="492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主要设备或软件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工程造价实训室</w:t>
            </w:r>
          </w:p>
        </w:tc>
        <w:tc>
          <w:tcPr>
            <w:tcW w:w="1947" w:type="dxa"/>
            <w:vMerge w:val="restart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满足《工程概预算》、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《建筑工程计量与计价》、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《工程结算》和《工程</w:t>
            </w:r>
            <w:bookmarkStart w:id="2" w:name="_GoBack"/>
            <w:bookmarkEnd w:id="2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造价综合实训》课程实训教学要求</w:t>
            </w:r>
          </w:p>
        </w:tc>
        <w:tc>
          <w:tcPr>
            <w:tcW w:w="4921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电子白板、多媒体计算机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BIM土建算量软件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BIM计价软件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建设工程立体知识云库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企业案例、规范、图集等一系列实训必备的资料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73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识图算量实训室</w:t>
            </w:r>
          </w:p>
        </w:tc>
        <w:tc>
          <w:tcPr>
            <w:tcW w:w="1947" w:type="dxa"/>
            <w:vMerge w:val="restart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满足《平法识图与钢筋算量》和《安装工程识图》课程实训教学要求</w:t>
            </w:r>
          </w:p>
        </w:tc>
        <w:tc>
          <w:tcPr>
            <w:tcW w:w="4921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电子白板、多媒体计算机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企业案例、规范、图集等一系列实训必备的资料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安装工程实训室</w:t>
            </w:r>
          </w:p>
        </w:tc>
        <w:tc>
          <w:tcPr>
            <w:tcW w:w="1947" w:type="dxa"/>
            <w:vMerge w:val="restart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满足《安装工程造价实训》课程实训教学要求</w:t>
            </w:r>
          </w:p>
        </w:tc>
        <w:tc>
          <w:tcPr>
            <w:tcW w:w="4921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电子白板、多媒体计算机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BIM安装算量软件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安装计价软件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企业案例、规范、图集等一系列实训必备的资料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建筑识图与构造仿真实训中心</w:t>
            </w:r>
          </w:p>
        </w:tc>
        <w:tc>
          <w:tcPr>
            <w:tcW w:w="1947" w:type="dxa"/>
            <w:vMerge w:val="restart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满足《建筑识图与制图》和《建筑构造》课程实训教学要求</w:t>
            </w:r>
          </w:p>
        </w:tc>
        <w:tc>
          <w:tcPr>
            <w:tcW w:w="4921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多媒体纳米触控黑板、多媒体计算机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工程识图三维仿真教学系统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建筑图库教学模拟实训软件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建筑三维设计软件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建筑CAD软件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企业案例、规范、图集等一系列实训必备的资料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3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建筑施工仿真实训中心</w:t>
            </w:r>
          </w:p>
        </w:tc>
        <w:tc>
          <w:tcPr>
            <w:tcW w:w="1947" w:type="dxa"/>
            <w:vMerge w:val="restart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满足《建筑施工工艺》和《建筑与装饰材料》课程实训教学要求</w:t>
            </w:r>
          </w:p>
        </w:tc>
        <w:tc>
          <w:tcPr>
            <w:tcW w:w="4921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多媒体纳米触控黑板、多媒体计算机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施工工艺虚拟仿真平台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建筑材料仿真实验系统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建筑VR实训室</w:t>
            </w:r>
          </w:p>
        </w:tc>
        <w:tc>
          <w:tcPr>
            <w:tcW w:w="1947" w:type="dxa"/>
            <w:vMerge w:val="restart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为多门课程提供案例模型及满足《建筑施工工艺》课程实训教学要求</w:t>
            </w:r>
          </w:p>
        </w:tc>
        <w:tc>
          <w:tcPr>
            <w:tcW w:w="4921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LED拼接屏、VR云主机、教师端VR头显设备、学生端VR头显设备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三维案例模型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建筑工程质量通病系统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施工安全系统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3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BIM实训室</w:t>
            </w:r>
          </w:p>
        </w:tc>
        <w:tc>
          <w:tcPr>
            <w:tcW w:w="1947" w:type="dxa"/>
            <w:vMerge w:val="restart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满足《BIM建模基础与应用》课程实训教学要求</w:t>
            </w:r>
          </w:p>
        </w:tc>
        <w:tc>
          <w:tcPr>
            <w:tcW w:w="4921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多媒体计算机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BIM建模软件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建筑材料检测实训室</w:t>
            </w:r>
          </w:p>
        </w:tc>
        <w:tc>
          <w:tcPr>
            <w:tcW w:w="1947" w:type="dxa"/>
            <w:vMerge w:val="restart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满足《建筑与装饰材料》课程实训教学要求</w:t>
            </w:r>
          </w:p>
        </w:tc>
        <w:tc>
          <w:tcPr>
            <w:tcW w:w="4921" w:type="dxa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水泥净浆搅拌机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水泥胶砂搅拌机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水泥胶砂振实台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雷氏沸煮箱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净浆标准稠度及凝结时间测定仪(维卡仪)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水泥细度负压筛析仪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水泥胶砂抗折试验机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水泥混凝土标准养护箱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电热鼓风干燥箱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标准筛振筛机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标准砂石筛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混凝土坍落度仪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混凝土立方体试模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混凝土圆柱体试模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万能试验机（微机控制电液伺服全自动）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HR-150型手动洛氏硬度计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1" w:type="dxa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电子天平CP153</w:t>
            </w:r>
          </w:p>
        </w:tc>
      </w:tr>
    </w:tbl>
    <w:p>
      <w:pPr>
        <w:tabs>
          <w:tab w:val="left" w:pos="312"/>
        </w:tabs>
        <w:spacing w:line="360" w:lineRule="auto"/>
        <w:ind w:left="420" w:left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6"/>
        </w:num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校外实训基地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具有稳定的校外实训基地，以造价咨询公司、施工企业、建设单位和工程管理公司为主，能够开展编制工程预算、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工程量清单编制、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工程量清单报价、工程结算等工程造价文件的实训活动，实训设施齐备，实训岗位，实训指导教师确定，实训管理及实施规章制度齐全。</w:t>
      </w:r>
    </w:p>
    <w:p>
      <w:pPr>
        <w:numPr>
          <w:ilvl w:val="0"/>
          <w:numId w:val="6"/>
        </w:num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学生实习基地基本要求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具有稳定的校外实习基地；能提供工程预算、工程量清单编制、工程量清单报价、工程结算等相关实习岗位，能涵盖当前相关产业发展的主流技术，可接纳一定规模的学生实习；能够配备相应数量的指导教师对学生实习进行指导和管理；有保证实习生日常工作、学习、生活的规章制度，有安全、保险保障。</w:t>
      </w:r>
    </w:p>
    <w:p>
      <w:pPr>
        <w:numPr>
          <w:ilvl w:val="0"/>
          <w:numId w:val="6"/>
        </w:num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支持信息化教学方面的基本要求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具有可利用的数字化教学资源库、文献资料、常见问题解答等信息化条件；鼓励教师开发并利用信息化教学资源、教学平台，创新教学方法，引导学生利用信息化教学条件自主学习，提升教学效果。</w:t>
      </w:r>
    </w:p>
    <w:p>
      <w:pPr>
        <w:numPr>
          <w:ilvl w:val="0"/>
          <w:numId w:val="4"/>
        </w:numPr>
        <w:spacing w:line="360" w:lineRule="auto"/>
        <w:ind w:firstLine="482" w:firstLineChars="200"/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教学资源</w:t>
      </w:r>
    </w:p>
    <w:p>
      <w:pPr>
        <w:numPr>
          <w:ilvl w:val="0"/>
          <w:numId w:val="7"/>
        </w:num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教材选用基本要求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按照国家规定选用优质教材，优先选用教育部高职规划教材和国家精品课程的教材，提倡使用与企业共同开发的新型活页式、工作手册式教材辅助教学。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禁止不合格的教材进入课堂。学校应建立专业教师、行业专家和教研人员等参与的教材选用机构，完善教材选用制度，经过规范程序择优选用教材。</w:t>
      </w:r>
    </w:p>
    <w:p>
      <w:pPr>
        <w:numPr>
          <w:ilvl w:val="0"/>
          <w:numId w:val="7"/>
        </w:num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图书文献配备基本要求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图书文献配备能满足人才培养、专业建设、教科研等工作的需要，方便师生查询、借阅。专业类图书文献主要包括：工程造价专业和相关专业的杂志、 专业图书等学习资料。</w:t>
      </w:r>
    </w:p>
    <w:p>
      <w:pPr>
        <w:numPr>
          <w:ilvl w:val="0"/>
          <w:numId w:val="7"/>
        </w:num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数字教学资源配置基本要求</w:t>
      </w:r>
    </w:p>
    <w:p>
      <w:pPr>
        <w:overflowPunct w:val="0"/>
        <w:adjustRightInd w:val="0"/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建设、配备与本专业有关的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教学课件、数字化教学案例库、虚拟仿真软件、数字教材、国家规范图集、三维案例模型、课程平台、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建筑图库、施工视频和仿真动画等专业教学资源库，应种类丰富、形式多样、使用便捷、动态更新，能满足教学要求。</w:t>
      </w:r>
    </w:p>
    <w:p>
      <w:pPr>
        <w:pStyle w:val="2"/>
        <w:ind w:firstLine="562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十、质量管理</w:t>
      </w:r>
    </w:p>
    <w:p>
      <w:pPr>
        <w:numPr>
          <w:ilvl w:val="0"/>
          <w:numId w:val="8"/>
        </w:num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院系建有专业建设委员会，加强专业建设和教学质量诊断与改进机制，健全专业教学质量监控管理制度，完善课堂教学、教学评价、实习实训、毕业设计以及专业调研、人才培养方案更新、资源建设等方面质量标准建设，通过教学实施、过程监控、质量评价和持续改进，达成人才培养规格。</w:t>
      </w:r>
    </w:p>
    <w:p>
      <w:pPr>
        <w:numPr>
          <w:ilvl w:val="0"/>
          <w:numId w:val="8"/>
        </w:num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院系建有教学工作委员会和督导监督小组，完善教学管理机制，加强日常教学组织运行与管理，定期开展课程建设水平和教学质量诊断与改进，建立健全巡课、听课、评教、评学等制度，建立与企业联动的实践教学环节督导制度，严明教学纪律，强化教学组织功能，定期开展公开课、示范课等教研活动。</w:t>
      </w:r>
    </w:p>
    <w:p>
      <w:pPr>
        <w:numPr>
          <w:ilvl w:val="0"/>
          <w:numId w:val="8"/>
        </w:num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学校与高校管理咨询公司麦可思公司长期合作，建立毕业生跟踪反馈机制及社会评价机制，并对生源情况、在校生学业水平、毕业生就业情况等进行分析，定期评价人才培养质量和培养目标完成情况。</w:t>
      </w:r>
    </w:p>
    <w:p>
      <w:pPr>
        <w:numPr>
          <w:ilvl w:val="0"/>
          <w:numId w:val="8"/>
        </w:num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专业教研组织应充分利用评价分析结果有效改进专业教学，通过召开教研室活动、到企业实践、去企业调研、参加培训学习等形式有效改进专业教学质量，持续提高人才培养质量。</w:t>
      </w:r>
    </w:p>
    <w:sectPr>
      <w:footerReference r:id="rId3" w:type="default"/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E2405B"/>
    <w:multiLevelType w:val="singleLevel"/>
    <w:tmpl w:val="83E2405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E87C7181"/>
    <w:multiLevelType w:val="singleLevel"/>
    <w:tmpl w:val="E87C7181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D9DDA8E"/>
    <w:multiLevelType w:val="singleLevel"/>
    <w:tmpl w:val="1D9DDA8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88AA4AA"/>
    <w:multiLevelType w:val="singleLevel"/>
    <w:tmpl w:val="388AA4AA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abstractNum w:abstractNumId="4">
    <w:nsid w:val="44FF487F"/>
    <w:multiLevelType w:val="singleLevel"/>
    <w:tmpl w:val="44FF487F"/>
    <w:lvl w:ilvl="0" w:tentative="0">
      <w:start w:val="3"/>
      <w:numFmt w:val="decimal"/>
      <w:suff w:val="nothing"/>
      <w:lvlText w:val="（%1）"/>
      <w:lvlJc w:val="left"/>
    </w:lvl>
  </w:abstractNum>
  <w:abstractNum w:abstractNumId="5">
    <w:nsid w:val="6214EAA5"/>
    <w:multiLevelType w:val="singleLevel"/>
    <w:tmpl w:val="6214EAA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66193865"/>
    <w:multiLevelType w:val="singleLevel"/>
    <w:tmpl w:val="6619386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6DD74580"/>
    <w:multiLevelType w:val="singleLevel"/>
    <w:tmpl w:val="6DD7458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A7A4B"/>
    <w:rsid w:val="00112000"/>
    <w:rsid w:val="00311818"/>
    <w:rsid w:val="0072011F"/>
    <w:rsid w:val="00751D89"/>
    <w:rsid w:val="007828AE"/>
    <w:rsid w:val="00992C3E"/>
    <w:rsid w:val="00A47C84"/>
    <w:rsid w:val="00AE7627"/>
    <w:rsid w:val="00AF0847"/>
    <w:rsid w:val="00B66FA9"/>
    <w:rsid w:val="00BB0E88"/>
    <w:rsid w:val="00BB7238"/>
    <w:rsid w:val="00D072C3"/>
    <w:rsid w:val="102B3952"/>
    <w:rsid w:val="13897BF3"/>
    <w:rsid w:val="13F6632D"/>
    <w:rsid w:val="14EE2304"/>
    <w:rsid w:val="15141410"/>
    <w:rsid w:val="1CD1426D"/>
    <w:rsid w:val="1DD13B53"/>
    <w:rsid w:val="1F4550F5"/>
    <w:rsid w:val="221C4696"/>
    <w:rsid w:val="26E07186"/>
    <w:rsid w:val="28420107"/>
    <w:rsid w:val="2F873915"/>
    <w:rsid w:val="399951F3"/>
    <w:rsid w:val="41427DA3"/>
    <w:rsid w:val="44FD742F"/>
    <w:rsid w:val="453630B0"/>
    <w:rsid w:val="464068F9"/>
    <w:rsid w:val="472D0E16"/>
    <w:rsid w:val="486F7CA9"/>
    <w:rsid w:val="4B3257A8"/>
    <w:rsid w:val="4BAA394E"/>
    <w:rsid w:val="4D0462D9"/>
    <w:rsid w:val="572B4B26"/>
    <w:rsid w:val="5924384A"/>
    <w:rsid w:val="5B7E3969"/>
    <w:rsid w:val="5C484DC0"/>
    <w:rsid w:val="5E6B1DB5"/>
    <w:rsid w:val="649E5950"/>
    <w:rsid w:val="6B513CBB"/>
    <w:rsid w:val="6B58718E"/>
    <w:rsid w:val="6C7854BF"/>
    <w:rsid w:val="70591978"/>
    <w:rsid w:val="767A1087"/>
    <w:rsid w:val="7AFA7A4B"/>
    <w:rsid w:val="7B11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ind w:firstLine="643" w:firstLineChars="200"/>
      <w:outlineLvl w:val="0"/>
    </w:pPr>
    <w:rPr>
      <w:b/>
      <w:kern w:val="44"/>
      <w:sz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cs="宋体"/>
      <w:sz w:val="20"/>
      <w:szCs w:val="20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1"/>
    <w:pPr>
      <w:ind w:left="1010" w:hanging="457"/>
    </w:pPr>
    <w:rPr>
      <w:rFonts w:ascii="宋体" w:hAnsi="宋体" w:cs="宋体"/>
    </w:rPr>
  </w:style>
  <w:style w:type="paragraph" w:customStyle="1" w:styleId="14">
    <w:name w:val="Table Paragraph"/>
    <w:basedOn w:val="1"/>
    <w:qFormat/>
    <w:uiPriority w:val="1"/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10</Pages>
  <Words>1206</Words>
  <Characters>6878</Characters>
  <Lines>57</Lines>
  <Paragraphs>16</Paragraphs>
  <TotalTime>7</TotalTime>
  <ScaleCrop>false</ScaleCrop>
  <LinksUpToDate>false</LinksUpToDate>
  <CharactersWithSpaces>8068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2020-07-31T02:45:00Z</dcterms:created>
  <dc:creator>孙鑫</dc:creator>
  <cp:lastModifiedBy>孙鑫</cp:lastModifiedBy>
  <dcterms:modified xsi:type="dcterms:W3CDTF">2020-10-16T03:21:25Z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