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30"/>
          <w:szCs w:val="30"/>
        </w:rPr>
      </w:pPr>
      <w:r>
        <w:rPr>
          <w:rFonts w:hint="eastAsia" w:ascii="宋体" w:hAnsi="宋体" w:cs="宋体"/>
          <w:sz w:val="30"/>
          <w:szCs w:val="30"/>
        </w:rPr>
        <w:t>附件1</w:t>
      </w:r>
    </w:p>
    <w:p>
      <w:pPr>
        <w:jc w:val="center"/>
        <w:rPr>
          <w:rFonts w:ascii="宋体" w:hAnsi="宋体" w:cs="宋体"/>
          <w:b/>
          <w:sz w:val="32"/>
          <w:szCs w:val="32"/>
        </w:rPr>
      </w:pPr>
      <w:r>
        <w:rPr>
          <w:rFonts w:hint="eastAsia" w:ascii="宋体" w:hAnsi="宋体" w:cs="宋体"/>
          <w:b/>
          <w:sz w:val="32"/>
          <w:szCs w:val="32"/>
        </w:rPr>
        <w:t>天津市职业教育与成人教育学会、天津职业院校联合学报20</w:t>
      </w:r>
      <w:r>
        <w:rPr>
          <w:rFonts w:hint="eastAsia" w:ascii="宋体" w:hAnsi="宋体" w:cs="宋体"/>
          <w:b/>
          <w:sz w:val="32"/>
          <w:szCs w:val="32"/>
          <w:lang w:val="en-US" w:eastAsia="zh-CN"/>
        </w:rPr>
        <w:t>20</w:t>
      </w:r>
      <w:r>
        <w:rPr>
          <w:rFonts w:hint="eastAsia" w:ascii="宋体" w:hAnsi="宋体" w:cs="宋体"/>
          <w:b/>
          <w:sz w:val="32"/>
          <w:szCs w:val="32"/>
        </w:rPr>
        <w:t>年科研课题选题指南</w:t>
      </w:r>
    </w:p>
    <w:p>
      <w:pPr>
        <w:rPr>
          <w:rFonts w:ascii="宋体" w:hAnsi="宋体" w:cs="宋体"/>
          <w:b/>
          <w:bCs/>
          <w:sz w:val="28"/>
          <w:szCs w:val="28"/>
        </w:rPr>
      </w:pPr>
      <w:r>
        <w:rPr>
          <w:rFonts w:hint="eastAsia" w:ascii="宋体" w:hAnsi="宋体" w:cs="宋体"/>
          <w:b/>
          <w:bCs/>
          <w:sz w:val="28"/>
          <w:szCs w:val="28"/>
        </w:rPr>
        <w:t>一、职业教育部分</w:t>
      </w:r>
    </w:p>
    <w:p>
      <w:pPr>
        <w:jc w:val="left"/>
        <w:rPr>
          <w:rFonts w:hint="eastAsia" w:ascii="宋体" w:hAnsi="宋体" w:cs="宋体"/>
          <w:sz w:val="28"/>
          <w:szCs w:val="28"/>
        </w:rPr>
      </w:pPr>
      <w:r>
        <w:rPr>
          <w:rFonts w:hint="eastAsia" w:ascii="宋体" w:hAnsi="宋体" w:cs="宋体"/>
          <w:sz w:val="28"/>
          <w:szCs w:val="28"/>
        </w:rPr>
        <w:t>1.关于加强党对教育工作全面领导的研究</w:t>
      </w:r>
    </w:p>
    <w:p>
      <w:pPr>
        <w:jc w:val="left"/>
        <w:rPr>
          <w:rFonts w:hint="eastAsia" w:ascii="宋体" w:hAnsi="宋体" w:cs="宋体"/>
          <w:sz w:val="28"/>
          <w:szCs w:val="28"/>
        </w:rPr>
      </w:pPr>
      <w:r>
        <w:rPr>
          <w:rFonts w:hint="eastAsia" w:ascii="宋体" w:hAnsi="宋体" w:cs="宋体"/>
          <w:sz w:val="28"/>
          <w:szCs w:val="28"/>
        </w:rPr>
        <w:t>2关于加强和改进职业院校党建工作的研究</w:t>
      </w:r>
    </w:p>
    <w:p>
      <w:pPr>
        <w:jc w:val="left"/>
        <w:rPr>
          <w:rFonts w:hint="eastAsia" w:ascii="宋体" w:hAnsi="宋体" w:cs="宋体"/>
          <w:sz w:val="28"/>
          <w:szCs w:val="28"/>
        </w:rPr>
      </w:pPr>
      <w:r>
        <w:rPr>
          <w:rFonts w:hint="eastAsia" w:ascii="宋体" w:hAnsi="宋体" w:cs="宋体"/>
          <w:sz w:val="28"/>
          <w:szCs w:val="28"/>
        </w:rPr>
        <w:t>3.以立德树人为根本使命 推动学校专业教学内涵发展的研究</w:t>
      </w:r>
    </w:p>
    <w:p>
      <w:pPr>
        <w:jc w:val="left"/>
        <w:rPr>
          <w:rFonts w:hint="eastAsia" w:ascii="宋体" w:hAnsi="宋体" w:cs="宋体"/>
          <w:sz w:val="28"/>
          <w:szCs w:val="28"/>
        </w:rPr>
      </w:pPr>
      <w:r>
        <w:rPr>
          <w:rFonts w:hint="eastAsia" w:ascii="宋体" w:hAnsi="宋体" w:cs="宋体"/>
          <w:sz w:val="28"/>
          <w:szCs w:val="28"/>
        </w:rPr>
        <w:t>4.关于全面贯彻党的教育方针，大力加强新时代劳动教育的研究</w:t>
      </w:r>
    </w:p>
    <w:p>
      <w:pPr>
        <w:jc w:val="left"/>
        <w:rPr>
          <w:rFonts w:hint="eastAsia" w:ascii="宋体" w:hAnsi="宋体" w:cs="宋体"/>
          <w:sz w:val="28"/>
          <w:szCs w:val="28"/>
        </w:rPr>
      </w:pPr>
      <w:r>
        <w:rPr>
          <w:rFonts w:hint="eastAsia" w:ascii="宋体" w:hAnsi="宋体" w:cs="宋体"/>
          <w:sz w:val="28"/>
          <w:szCs w:val="28"/>
        </w:rPr>
        <w:t>5关于国家现代职业教育改革创新示范区建设成果经验的研究</w:t>
      </w:r>
    </w:p>
    <w:p>
      <w:pPr>
        <w:jc w:val="left"/>
        <w:rPr>
          <w:rFonts w:hint="eastAsia" w:ascii="宋体" w:hAnsi="宋体" w:cs="宋体"/>
          <w:sz w:val="28"/>
          <w:szCs w:val="28"/>
        </w:rPr>
      </w:pPr>
      <w:r>
        <w:rPr>
          <w:rFonts w:hint="eastAsia" w:ascii="宋体" w:hAnsi="宋体" w:cs="宋体"/>
          <w:sz w:val="28"/>
          <w:szCs w:val="28"/>
        </w:rPr>
        <w:t>6 新时代背景下职业院校人文素养教育与专业教学融合的路径探索</w:t>
      </w:r>
    </w:p>
    <w:p>
      <w:pPr>
        <w:jc w:val="left"/>
        <w:rPr>
          <w:rFonts w:hint="eastAsia" w:ascii="宋体" w:hAnsi="宋体" w:cs="宋体"/>
          <w:sz w:val="28"/>
          <w:szCs w:val="28"/>
        </w:rPr>
      </w:pPr>
      <w:r>
        <w:rPr>
          <w:rFonts w:hint="eastAsia" w:ascii="宋体" w:hAnsi="宋体" w:cs="宋体"/>
          <w:sz w:val="28"/>
          <w:szCs w:val="28"/>
        </w:rPr>
        <w:t>7关于职业院校培育学生“工匠精神”的研究</w:t>
      </w:r>
    </w:p>
    <w:p>
      <w:pPr>
        <w:jc w:val="left"/>
        <w:rPr>
          <w:rFonts w:hint="eastAsia" w:ascii="宋体" w:hAnsi="宋体" w:cs="宋体"/>
          <w:sz w:val="28"/>
          <w:szCs w:val="28"/>
        </w:rPr>
      </w:pPr>
      <w:r>
        <w:rPr>
          <w:rFonts w:hint="eastAsia" w:ascii="宋体" w:hAnsi="宋体" w:cs="宋体"/>
          <w:sz w:val="28"/>
          <w:szCs w:val="28"/>
        </w:rPr>
        <w:t>8.关于新冠肺炎疫情防控背景下学生思想动态的研究</w:t>
      </w:r>
    </w:p>
    <w:p>
      <w:pPr>
        <w:jc w:val="left"/>
        <w:rPr>
          <w:rFonts w:hint="eastAsia" w:ascii="宋体" w:hAnsi="宋体" w:cs="宋体"/>
          <w:sz w:val="28"/>
          <w:szCs w:val="28"/>
        </w:rPr>
      </w:pPr>
      <w:r>
        <w:rPr>
          <w:rFonts w:hint="eastAsia" w:ascii="宋体" w:hAnsi="宋体" w:cs="宋体"/>
          <w:sz w:val="28"/>
          <w:szCs w:val="28"/>
        </w:rPr>
        <w:t>9. 关于新冠肺炎疫情防控背景下线上教学模式的研究</w:t>
      </w:r>
    </w:p>
    <w:p>
      <w:pPr>
        <w:jc w:val="left"/>
        <w:rPr>
          <w:rFonts w:hint="eastAsia" w:ascii="宋体" w:hAnsi="宋体" w:cs="宋体"/>
          <w:sz w:val="28"/>
          <w:szCs w:val="28"/>
        </w:rPr>
      </w:pPr>
      <w:r>
        <w:rPr>
          <w:rFonts w:hint="eastAsia" w:ascii="宋体" w:hAnsi="宋体" w:cs="宋体"/>
          <w:sz w:val="28"/>
          <w:szCs w:val="28"/>
        </w:rPr>
        <w:t>10.关于促进职业院校专业群与产业群对接的研究</w:t>
      </w:r>
    </w:p>
    <w:p>
      <w:pPr>
        <w:jc w:val="left"/>
        <w:rPr>
          <w:rFonts w:hint="eastAsia" w:ascii="宋体" w:hAnsi="宋体" w:cs="宋体"/>
          <w:sz w:val="28"/>
          <w:szCs w:val="28"/>
        </w:rPr>
      </w:pPr>
      <w:r>
        <w:rPr>
          <w:rFonts w:hint="eastAsia" w:ascii="宋体" w:hAnsi="宋体" w:cs="宋体"/>
          <w:sz w:val="28"/>
          <w:szCs w:val="28"/>
        </w:rPr>
        <w:t>11.关于提升职业院校信息化教学水平的研究</w:t>
      </w:r>
    </w:p>
    <w:p>
      <w:pPr>
        <w:jc w:val="left"/>
        <w:rPr>
          <w:rFonts w:hint="eastAsia" w:ascii="宋体" w:hAnsi="宋体" w:cs="宋体"/>
          <w:sz w:val="28"/>
          <w:szCs w:val="28"/>
        </w:rPr>
      </w:pPr>
      <w:r>
        <w:rPr>
          <w:rFonts w:hint="eastAsia" w:ascii="宋体" w:hAnsi="宋体" w:cs="宋体"/>
          <w:sz w:val="28"/>
          <w:szCs w:val="28"/>
        </w:rPr>
        <w:t>12. 关于实行“1+X”证书制度试点的研究</w:t>
      </w:r>
    </w:p>
    <w:p>
      <w:pPr>
        <w:jc w:val="left"/>
        <w:rPr>
          <w:rFonts w:hint="eastAsia" w:ascii="宋体" w:hAnsi="宋体" w:cs="宋体"/>
          <w:sz w:val="28"/>
          <w:szCs w:val="28"/>
        </w:rPr>
      </w:pPr>
      <w:r>
        <w:rPr>
          <w:rFonts w:hint="eastAsia" w:ascii="宋体" w:hAnsi="宋体" w:cs="宋体"/>
          <w:sz w:val="28"/>
          <w:szCs w:val="28"/>
        </w:rPr>
        <w:t>13. 关于高职扩招后人才培养质量保障机制的研究</w:t>
      </w:r>
    </w:p>
    <w:p>
      <w:pPr>
        <w:jc w:val="left"/>
        <w:rPr>
          <w:rFonts w:hint="eastAsia" w:ascii="宋体" w:hAnsi="宋体" w:cs="宋体"/>
          <w:sz w:val="28"/>
          <w:szCs w:val="28"/>
        </w:rPr>
      </w:pPr>
      <w:r>
        <w:rPr>
          <w:rFonts w:hint="eastAsia" w:ascii="宋体" w:hAnsi="宋体" w:cs="宋体"/>
          <w:sz w:val="28"/>
          <w:szCs w:val="28"/>
        </w:rPr>
        <w:t>14. 关于职业院校弹性学制培养高端技术技能人才的研究</w:t>
      </w:r>
    </w:p>
    <w:p>
      <w:pPr>
        <w:jc w:val="left"/>
        <w:rPr>
          <w:rFonts w:hint="eastAsia" w:ascii="宋体" w:hAnsi="宋体" w:cs="宋体"/>
          <w:sz w:val="28"/>
          <w:szCs w:val="28"/>
        </w:rPr>
      </w:pPr>
      <w:r>
        <w:rPr>
          <w:rFonts w:hint="eastAsia" w:ascii="宋体" w:hAnsi="宋体" w:cs="宋体"/>
          <w:sz w:val="28"/>
          <w:szCs w:val="28"/>
        </w:rPr>
        <w:t>15.基于“中国制造2025”职业院校新工科专业与工程实训中心建设研究</w:t>
      </w:r>
    </w:p>
    <w:p>
      <w:pPr>
        <w:jc w:val="left"/>
        <w:rPr>
          <w:rFonts w:hint="eastAsia" w:ascii="宋体" w:hAnsi="宋体" w:cs="宋体"/>
          <w:sz w:val="28"/>
          <w:szCs w:val="28"/>
        </w:rPr>
      </w:pPr>
      <w:r>
        <w:rPr>
          <w:rFonts w:hint="eastAsia" w:ascii="宋体" w:hAnsi="宋体" w:cs="宋体"/>
          <w:sz w:val="28"/>
          <w:szCs w:val="28"/>
        </w:rPr>
        <w:t>16.关于有效发挥海外“鲁班工坊”作用的研究</w:t>
      </w:r>
    </w:p>
    <w:p>
      <w:pPr>
        <w:jc w:val="left"/>
        <w:rPr>
          <w:rFonts w:hint="eastAsia" w:ascii="宋体" w:hAnsi="宋体" w:cs="宋体"/>
          <w:sz w:val="28"/>
          <w:szCs w:val="28"/>
        </w:rPr>
      </w:pPr>
      <w:r>
        <w:rPr>
          <w:rFonts w:hint="eastAsia" w:ascii="宋体" w:hAnsi="宋体" w:cs="宋体"/>
          <w:sz w:val="28"/>
          <w:szCs w:val="28"/>
        </w:rPr>
        <w:t>17校企深度合作的教学组织及现代学徒制人才培养的课程评价与改进研究</w:t>
      </w:r>
    </w:p>
    <w:p>
      <w:pPr>
        <w:jc w:val="left"/>
        <w:rPr>
          <w:rFonts w:hint="eastAsia" w:ascii="宋体" w:hAnsi="宋体" w:cs="宋体"/>
          <w:sz w:val="28"/>
          <w:szCs w:val="28"/>
        </w:rPr>
      </w:pPr>
      <w:r>
        <w:rPr>
          <w:rFonts w:hint="eastAsia" w:ascii="宋体" w:hAnsi="宋体" w:cs="宋体"/>
          <w:sz w:val="28"/>
          <w:szCs w:val="28"/>
        </w:rPr>
        <w:t>18. 基于行业指导的专业教学标准开发的实践研究</w:t>
      </w:r>
    </w:p>
    <w:p>
      <w:pPr>
        <w:jc w:val="left"/>
        <w:rPr>
          <w:rFonts w:hint="eastAsia" w:ascii="宋体" w:hAnsi="宋体" w:cs="宋体"/>
          <w:sz w:val="28"/>
          <w:szCs w:val="28"/>
        </w:rPr>
      </w:pPr>
      <w:r>
        <w:rPr>
          <w:rFonts w:hint="eastAsia" w:ascii="宋体" w:hAnsi="宋体" w:cs="宋体"/>
          <w:sz w:val="28"/>
          <w:szCs w:val="28"/>
        </w:rPr>
        <w:t>19. 关于完善校级、市级、国家级职业技能竞赛体系的研究</w:t>
      </w:r>
    </w:p>
    <w:p>
      <w:pPr>
        <w:jc w:val="left"/>
        <w:rPr>
          <w:rFonts w:hint="eastAsia" w:ascii="宋体" w:hAnsi="宋体" w:cs="宋体"/>
          <w:sz w:val="28"/>
          <w:szCs w:val="28"/>
        </w:rPr>
      </w:pPr>
      <w:r>
        <w:rPr>
          <w:rFonts w:hint="eastAsia" w:ascii="宋体" w:hAnsi="宋体" w:cs="宋体"/>
          <w:sz w:val="28"/>
          <w:szCs w:val="28"/>
        </w:rPr>
        <w:t>20. 关于京津冀职业教育协同发展机制的研究</w:t>
      </w:r>
    </w:p>
    <w:p>
      <w:pPr>
        <w:jc w:val="left"/>
        <w:rPr>
          <w:rFonts w:hint="eastAsia" w:ascii="宋体" w:hAnsi="宋体" w:cs="宋体"/>
          <w:b/>
          <w:bCs/>
          <w:sz w:val="28"/>
          <w:szCs w:val="28"/>
        </w:rPr>
      </w:pPr>
      <w:r>
        <w:rPr>
          <w:rFonts w:hint="eastAsia" w:ascii="宋体" w:hAnsi="宋体" w:cs="宋体"/>
          <w:b/>
          <w:bCs/>
          <w:sz w:val="28"/>
          <w:szCs w:val="28"/>
        </w:rPr>
        <w:t>二、继续（成人）教育部分</w:t>
      </w:r>
    </w:p>
    <w:p>
      <w:pPr>
        <w:jc w:val="left"/>
        <w:rPr>
          <w:rFonts w:hint="eastAsia" w:ascii="宋体" w:hAnsi="宋体" w:cs="宋体"/>
          <w:sz w:val="28"/>
          <w:szCs w:val="28"/>
        </w:rPr>
      </w:pPr>
      <w:r>
        <w:rPr>
          <w:rFonts w:hint="eastAsia" w:ascii="宋体" w:hAnsi="宋体" w:cs="宋体"/>
          <w:sz w:val="28"/>
          <w:szCs w:val="28"/>
        </w:rPr>
        <w:t>1.新形势下继续教育发展策略和实践的研究</w:t>
      </w:r>
    </w:p>
    <w:p>
      <w:pPr>
        <w:jc w:val="left"/>
        <w:rPr>
          <w:rFonts w:hint="eastAsia" w:ascii="宋体" w:hAnsi="宋体" w:cs="宋体"/>
          <w:sz w:val="28"/>
          <w:szCs w:val="28"/>
        </w:rPr>
      </w:pPr>
      <w:r>
        <w:rPr>
          <w:rFonts w:hint="eastAsia" w:ascii="宋体" w:hAnsi="宋体" w:cs="宋体"/>
          <w:sz w:val="28"/>
          <w:szCs w:val="28"/>
        </w:rPr>
        <w:t>2.继续教育管理运行模式的研究</w:t>
      </w:r>
    </w:p>
    <w:p>
      <w:pPr>
        <w:jc w:val="left"/>
        <w:rPr>
          <w:rFonts w:hint="eastAsia" w:ascii="宋体" w:hAnsi="宋体" w:cs="宋体"/>
          <w:sz w:val="28"/>
          <w:szCs w:val="28"/>
        </w:rPr>
      </w:pPr>
      <w:r>
        <w:rPr>
          <w:rFonts w:hint="eastAsia" w:ascii="宋体" w:hAnsi="宋体" w:cs="宋体"/>
          <w:sz w:val="28"/>
          <w:szCs w:val="28"/>
        </w:rPr>
        <w:t>3.成人学习需求与学习特点分析的研究</w:t>
      </w:r>
    </w:p>
    <w:p>
      <w:pPr>
        <w:jc w:val="left"/>
        <w:rPr>
          <w:rFonts w:hint="eastAsia" w:ascii="宋体" w:hAnsi="宋体" w:cs="宋体"/>
          <w:sz w:val="28"/>
          <w:szCs w:val="28"/>
        </w:rPr>
      </w:pPr>
      <w:r>
        <w:rPr>
          <w:rFonts w:hint="eastAsia" w:ascii="宋体" w:hAnsi="宋体" w:cs="宋体"/>
          <w:sz w:val="28"/>
          <w:szCs w:val="28"/>
        </w:rPr>
        <w:t>4.成人高等教育教学手段和方法的研究</w:t>
      </w:r>
    </w:p>
    <w:p>
      <w:pPr>
        <w:jc w:val="left"/>
        <w:rPr>
          <w:rFonts w:hint="eastAsia" w:ascii="宋体" w:hAnsi="宋体" w:cs="宋体"/>
          <w:sz w:val="28"/>
          <w:szCs w:val="28"/>
        </w:rPr>
      </w:pPr>
      <w:r>
        <w:rPr>
          <w:rFonts w:hint="eastAsia" w:ascii="宋体" w:hAnsi="宋体" w:cs="宋体"/>
          <w:sz w:val="28"/>
          <w:szCs w:val="28"/>
        </w:rPr>
        <w:t>5.继续教育信息化教学资源建设和共享的研究</w:t>
      </w:r>
    </w:p>
    <w:p>
      <w:pPr>
        <w:jc w:val="left"/>
        <w:rPr>
          <w:rFonts w:hint="eastAsia" w:ascii="宋体" w:hAnsi="宋体" w:cs="宋体"/>
          <w:sz w:val="28"/>
          <w:szCs w:val="28"/>
        </w:rPr>
      </w:pPr>
      <w:r>
        <w:rPr>
          <w:rFonts w:hint="eastAsia" w:ascii="宋体" w:hAnsi="宋体" w:cs="宋体"/>
          <w:sz w:val="28"/>
          <w:szCs w:val="28"/>
        </w:rPr>
        <w:t>6.提高继续教育学习型城市建设统筹能力的研究</w:t>
      </w:r>
    </w:p>
    <w:p>
      <w:pPr>
        <w:jc w:val="left"/>
        <w:rPr>
          <w:rFonts w:hint="eastAsia" w:ascii="宋体" w:hAnsi="宋体" w:cs="宋体"/>
          <w:sz w:val="28"/>
          <w:szCs w:val="28"/>
        </w:rPr>
      </w:pPr>
      <w:r>
        <w:rPr>
          <w:rFonts w:hint="eastAsia" w:ascii="宋体" w:hAnsi="宋体" w:cs="宋体"/>
          <w:sz w:val="28"/>
          <w:szCs w:val="28"/>
        </w:rPr>
        <w:t>7.成人教育在建设学习型城市中的功能作用的研究</w:t>
      </w:r>
    </w:p>
    <w:p>
      <w:pPr>
        <w:jc w:val="left"/>
        <w:rPr>
          <w:rFonts w:hint="eastAsia" w:ascii="宋体" w:hAnsi="宋体" w:cs="宋体"/>
          <w:sz w:val="28"/>
          <w:szCs w:val="28"/>
        </w:rPr>
      </w:pPr>
      <w:r>
        <w:rPr>
          <w:rFonts w:hint="eastAsia" w:ascii="宋体" w:hAnsi="宋体" w:cs="宋体"/>
          <w:sz w:val="28"/>
          <w:szCs w:val="28"/>
        </w:rPr>
        <w:t>8.区域构建终身教育体系实践的研究</w:t>
      </w:r>
    </w:p>
    <w:p>
      <w:pPr>
        <w:jc w:val="left"/>
        <w:rPr>
          <w:rFonts w:hint="eastAsia" w:ascii="宋体" w:hAnsi="宋体" w:cs="宋体"/>
          <w:sz w:val="28"/>
          <w:szCs w:val="28"/>
        </w:rPr>
      </w:pPr>
      <w:r>
        <w:rPr>
          <w:rFonts w:hint="eastAsia" w:ascii="宋体" w:hAnsi="宋体" w:cs="宋体"/>
          <w:sz w:val="28"/>
          <w:szCs w:val="28"/>
        </w:rPr>
        <w:t>9.成人继续教育师资队伍建设的研究</w:t>
      </w:r>
    </w:p>
    <w:p>
      <w:pPr>
        <w:jc w:val="left"/>
        <w:rPr>
          <w:rFonts w:hint="eastAsia" w:ascii="宋体" w:hAnsi="宋体" w:cs="宋体"/>
          <w:sz w:val="28"/>
          <w:szCs w:val="28"/>
        </w:rPr>
      </w:pPr>
      <w:r>
        <w:rPr>
          <w:rFonts w:hint="eastAsia" w:ascii="宋体" w:hAnsi="宋体" w:cs="宋体"/>
          <w:sz w:val="28"/>
          <w:szCs w:val="28"/>
        </w:rPr>
        <w:t>10.成人高等教育危机及对策的研究</w:t>
      </w:r>
    </w:p>
    <w:p>
      <w:pPr>
        <w:jc w:val="left"/>
        <w:rPr>
          <w:rFonts w:ascii="宋体" w:hAnsi="宋体" w:cs="宋体"/>
          <w:b/>
          <w:bCs/>
          <w:sz w:val="28"/>
          <w:szCs w:val="28"/>
        </w:rPr>
      </w:pPr>
      <w:r>
        <w:rPr>
          <w:rFonts w:hint="eastAsia" w:ascii="宋体" w:hAnsi="宋体" w:cs="宋体"/>
          <w:b/>
          <w:bCs/>
          <w:sz w:val="28"/>
          <w:szCs w:val="28"/>
        </w:rPr>
        <w:t>三、社区教育和老年教育部分</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新冠肺炎</w:t>
      </w:r>
      <w:r>
        <w:rPr>
          <w:rFonts w:hint="eastAsia" w:ascii="宋体" w:hAnsi="宋体" w:eastAsia="宋体" w:cs="宋体"/>
          <w:sz w:val="28"/>
          <w:szCs w:val="28"/>
          <w:lang w:val="en-US" w:eastAsia="zh-CN"/>
        </w:rPr>
        <w:t>疫情防控背景下社区教育、公民素质教育研究</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新冠肺炎</w:t>
      </w:r>
      <w:r>
        <w:rPr>
          <w:rFonts w:hint="eastAsia" w:ascii="宋体" w:hAnsi="宋体" w:eastAsia="宋体" w:cs="宋体"/>
          <w:sz w:val="28"/>
          <w:szCs w:val="28"/>
          <w:lang w:val="en-US" w:eastAsia="zh-CN"/>
        </w:rPr>
        <w:t>疫情防控背景下老年教育研究</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3.社区教育在推进国家治理体系和治理能力现代化进程中的地位和作用研究</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4.终身学习平台与资源建设研究</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5.终身学习成果认定与奖励机制研究</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6.农村社区教育发展策略研究</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7.社区教育规范化、制度化发展研究</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8.老年教育教学质量现状分析与对策研究</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9.老年教育课程监控视域下的课程督导研究</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10.积极老龄化背景下社区老年教育模式的构建研究</w:t>
      </w:r>
    </w:p>
    <w:p>
      <w:pPr>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11.养教结合的老年教育研究</w:t>
      </w:r>
    </w:p>
    <w:p>
      <w:pPr>
        <w:adjustRightInd w:val="0"/>
        <w:snapToGrid w:val="0"/>
        <w:spacing w:line="540" w:lineRule="exact"/>
        <w:jc w:val="both"/>
        <w:rPr>
          <w:rFonts w:ascii="宋体" w:hAnsi="宋体" w:cs="宋体"/>
          <w:sz w:val="28"/>
          <w:szCs w:val="28"/>
        </w:rPr>
      </w:pPr>
    </w:p>
    <w:p>
      <w:pPr>
        <w:adjustRightInd w:val="0"/>
        <w:snapToGrid w:val="0"/>
        <w:spacing w:line="540" w:lineRule="exact"/>
        <w:jc w:val="center"/>
        <w:rPr>
          <w:rFonts w:ascii="宋体" w:hAnsi="宋体" w:cs="宋体"/>
          <w:sz w:val="28"/>
          <w:szCs w:val="28"/>
        </w:rPr>
      </w:pPr>
    </w:p>
    <w:p>
      <w:pPr>
        <w:adjustRightInd w:val="0"/>
        <w:snapToGrid w:val="0"/>
        <w:spacing w:line="540" w:lineRule="exact"/>
        <w:jc w:val="center"/>
        <w:rPr>
          <w:rFonts w:ascii="宋体" w:hAnsi="宋体" w:cs="宋体"/>
          <w:sz w:val="28"/>
          <w:szCs w:val="28"/>
        </w:rPr>
      </w:pPr>
    </w:p>
    <w:p>
      <w:pPr>
        <w:adjustRightInd w:val="0"/>
        <w:snapToGrid w:val="0"/>
        <w:spacing w:line="540" w:lineRule="exact"/>
        <w:jc w:val="center"/>
        <w:rPr>
          <w:rFonts w:ascii="宋体" w:hAnsi="宋体" w:cs="宋体"/>
          <w:sz w:val="28"/>
          <w:szCs w:val="28"/>
        </w:rPr>
      </w:pP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otum">
    <w:panose1 w:val="020B0600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E0AC4"/>
    <w:rsid w:val="0009538E"/>
    <w:rsid w:val="00454547"/>
    <w:rsid w:val="00842421"/>
    <w:rsid w:val="00963031"/>
    <w:rsid w:val="00DE0AC4"/>
    <w:rsid w:val="00FB2AC4"/>
    <w:rsid w:val="011F279F"/>
    <w:rsid w:val="039F0346"/>
    <w:rsid w:val="103F0E75"/>
    <w:rsid w:val="141D166E"/>
    <w:rsid w:val="14BB1D3F"/>
    <w:rsid w:val="16914EAF"/>
    <w:rsid w:val="175D459B"/>
    <w:rsid w:val="1AAF7889"/>
    <w:rsid w:val="1DE4304B"/>
    <w:rsid w:val="24046F54"/>
    <w:rsid w:val="28840B64"/>
    <w:rsid w:val="28DC3823"/>
    <w:rsid w:val="2DA51AE7"/>
    <w:rsid w:val="376A7837"/>
    <w:rsid w:val="3D6D4692"/>
    <w:rsid w:val="42964094"/>
    <w:rsid w:val="47820991"/>
    <w:rsid w:val="4BDF18BA"/>
    <w:rsid w:val="4DA306A8"/>
    <w:rsid w:val="506F148F"/>
    <w:rsid w:val="52170878"/>
    <w:rsid w:val="5613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rPr>
      <w:rFonts w:eastAsiaTheme="minorEastAsia" w:cstheme="minorBidi"/>
      <w:szCs w:val="22"/>
    </w:rPr>
  </w:style>
  <w:style w:type="paragraph" w:styleId="3">
    <w:name w:val="Plain Text"/>
    <w:basedOn w:val="1"/>
    <w:link w:val="12"/>
    <w:qFormat/>
    <w:uiPriority w:val="0"/>
    <w:rPr>
      <w:rFonts w:ascii="宋体" w:hAnsi="Courier New" w:eastAsiaTheme="minorEastAsia" w:cstheme="minorBidi"/>
      <w:szCs w:val="22"/>
    </w:r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character" w:styleId="8">
    <w:name w:val="annotation reference"/>
    <w:unhideWhenUsed/>
    <w:qFormat/>
    <w:uiPriority w:val="99"/>
    <w:rPr>
      <w:sz w:val="21"/>
      <w:szCs w:val="21"/>
    </w:rPr>
  </w:style>
  <w:style w:type="character" w:customStyle="1" w:styleId="9">
    <w:name w:val="批注文字 Char"/>
    <w:link w:val="2"/>
    <w:qFormat/>
    <w:uiPriority w:val="99"/>
    <w:rPr>
      <w:rFonts w:ascii="Calibri" w:hAnsi="Calibri"/>
    </w:rPr>
  </w:style>
  <w:style w:type="character" w:customStyle="1" w:styleId="10">
    <w:name w:val="纯文本 Char1"/>
    <w:link w:val="3"/>
    <w:qFormat/>
    <w:uiPriority w:val="0"/>
    <w:rPr>
      <w:rFonts w:ascii="宋体" w:hAnsi="Courier New"/>
    </w:rPr>
  </w:style>
  <w:style w:type="character" w:customStyle="1" w:styleId="11">
    <w:name w:val="批注文字 Char1"/>
    <w:basedOn w:val="7"/>
    <w:link w:val="2"/>
    <w:semiHidden/>
    <w:qFormat/>
    <w:uiPriority w:val="99"/>
    <w:rPr>
      <w:rFonts w:ascii="Calibri" w:hAnsi="Calibri" w:eastAsia="宋体" w:cs="Times New Roman"/>
      <w:szCs w:val="24"/>
    </w:rPr>
  </w:style>
  <w:style w:type="character" w:customStyle="1" w:styleId="12">
    <w:name w:val="纯文本 Char"/>
    <w:basedOn w:val="7"/>
    <w:link w:val="3"/>
    <w:semiHidden/>
    <w:qFormat/>
    <w:uiPriority w:val="99"/>
    <w:rPr>
      <w:rFonts w:ascii="宋体" w:hAnsi="Courier New" w:eastAsia="宋体" w:cs="Courier New"/>
      <w:szCs w:val="21"/>
    </w:rPr>
  </w:style>
  <w:style w:type="character" w:customStyle="1" w:styleId="13">
    <w:name w:val="页脚 Char"/>
    <w:basedOn w:val="7"/>
    <w:link w:val="5"/>
    <w:qFormat/>
    <w:uiPriority w:val="0"/>
    <w:rPr>
      <w:rFonts w:ascii="Calibri" w:hAnsi="Calibri" w:eastAsia="宋体" w:cs="Times New Roman"/>
      <w:sz w:val="18"/>
      <w:szCs w:val="24"/>
    </w:rPr>
  </w:style>
  <w:style w:type="paragraph" w:styleId="14">
    <w:name w:val="List Paragraph"/>
    <w:basedOn w:val="1"/>
    <w:qFormat/>
    <w:uiPriority w:val="34"/>
    <w:pPr>
      <w:ind w:firstLine="420" w:firstLineChars="200"/>
    </w:pPr>
    <w:rPr>
      <w:szCs w:val="22"/>
    </w:rPr>
  </w:style>
  <w:style w:type="character" w:customStyle="1" w:styleId="15">
    <w:name w:val="批注框文本 Char"/>
    <w:basedOn w:val="7"/>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878</Words>
  <Characters>5011</Characters>
  <Lines>41</Lines>
  <Paragraphs>11</Paragraphs>
  <TotalTime>0</TotalTime>
  <ScaleCrop>false</ScaleCrop>
  <LinksUpToDate>false</LinksUpToDate>
  <CharactersWithSpaces>5878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2019-01-28T05:04:00Z</dcterms:created>
  <dc:creator>User</dc:creator>
  <cp:lastModifiedBy>Administrator</cp:lastModifiedBy>
  <dcterms:modified xsi:type="dcterms:W3CDTF">2020-04-17T02:03:23Z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