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天津滨海职业学院小额工程维修入围项目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w:t>
      </w:r>
      <w:r>
        <w:rPr>
          <w:rFonts w:ascii="宋体" w:hAnsi="宋体" w:eastAsia="宋体" w:cs="宋体"/>
          <w:b/>
          <w:bCs/>
          <w:color w:val="auto"/>
          <w:spacing w:val="15"/>
          <w:kern w:val="0"/>
          <w:sz w:val="32"/>
          <w:szCs w:val="32"/>
        </w:rPr>
        <w:t>2022-</w:t>
      </w:r>
      <w:r>
        <w:rPr>
          <w:rFonts w:hint="eastAsia" w:ascii="宋体" w:hAnsi="宋体" w:eastAsia="宋体" w:cs="宋体"/>
          <w:b/>
          <w:bCs/>
          <w:color w:val="auto"/>
          <w:spacing w:val="15"/>
          <w:kern w:val="0"/>
          <w:sz w:val="32"/>
          <w:szCs w:val="32"/>
        </w:rPr>
        <w:t>XN-028</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2</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8</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EastAsia" w:hAnsiTheme="minorEastAsia" w:cstheme="minorBidi"/>
          <w:kern w:val="2"/>
          <w:sz w:val="30"/>
          <w:szCs w:val="30"/>
          <w:lang w:eastAsia="zh-CN"/>
        </w:rPr>
      </w:pPr>
      <w:r>
        <w:rPr>
          <w:rFonts w:cs="宋体" w:asciiTheme="minorEastAsia" w:hAnsiTheme="minorEastAsia"/>
          <w:bCs/>
          <w:sz w:val="30"/>
          <w:szCs w:val="30"/>
        </w:rPr>
        <w:fldChar w:fldCharType="begin"/>
      </w:r>
      <w:r>
        <w:rPr>
          <w:rFonts w:cs="宋体" w:asciiTheme="minorEastAsia" w:hAnsiTheme="minorEastAsia"/>
          <w:bCs/>
          <w:sz w:val="30"/>
          <w:szCs w:val="30"/>
          <w:lang w:eastAsia="zh-CN"/>
        </w:rPr>
        <w:instrText xml:space="preserve"> TOC \t "标题 1, 1,标题 2, 2"</w:instrText>
      </w:r>
      <w:r>
        <w:rPr>
          <w:rFonts w:cs="宋体" w:asciiTheme="minorEastAsia" w:hAnsiTheme="minorEastAsia"/>
          <w:bCs/>
          <w:sz w:val="30"/>
          <w:szCs w:val="30"/>
        </w:rPr>
        <w:fldChar w:fldCharType="separate"/>
      </w:r>
      <w:r>
        <w:rPr>
          <w:rFonts w:hint="eastAsia" w:cs="宋体" w:asciiTheme="minorEastAsia" w:hAnsiTheme="minorEastAsia"/>
          <w:sz w:val="30"/>
          <w:szCs w:val="30"/>
          <w:lang w:val="zh-TW" w:eastAsia="zh-TW"/>
        </w:rPr>
        <w:t>第一部分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pPr>
        <w:pStyle w:val="4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第二部分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pPr>
        <w:pStyle w:val="4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第三部分附件</w:t>
      </w:r>
      <w:r>
        <w:rPr>
          <w:rFonts w:cs="宋体" w:asciiTheme="minorEastAsia" w:hAnsiTheme="minorEastAsia"/>
          <w:sz w:val="30"/>
          <w:szCs w:val="30"/>
          <w:lang w:eastAsia="zh-CN"/>
        </w:rPr>
        <w:t>――</w:t>
      </w:r>
      <w:r>
        <w:rPr>
          <w:rFonts w:hint="eastAsia" w:cs="宋体" w:asciiTheme="minorEastAsia" w:hAnsiTheme="minorEastAsia"/>
          <w:sz w:val="30"/>
          <w:szCs w:val="30"/>
          <w:lang w:val="zh-TW" w:eastAsia="zh-TW"/>
        </w:rPr>
        <w:t>响应文件格式</w:t>
      </w:r>
      <w:r>
        <w:rPr>
          <w:rFonts w:asciiTheme="minorEastAsia" w:hAnsiTheme="minorEastAsia"/>
          <w:sz w:val="30"/>
          <w:szCs w:val="30"/>
          <w:lang w:eastAsia="zh-CN"/>
        </w:rPr>
        <w:tab/>
      </w:r>
      <w:r>
        <w:rPr>
          <w:rFonts w:asciiTheme="minorEastAsia" w:hAnsiTheme="minorEastAsia"/>
          <w:sz w:val="30"/>
          <w:szCs w:val="30"/>
          <w:lang w:eastAsia="zh-CN"/>
        </w:rPr>
        <w:t>18</w:t>
      </w:r>
    </w:p>
    <w:p>
      <w:pPr>
        <w:pStyle w:val="5"/>
        <w:spacing w:line="480" w:lineRule="auto"/>
        <w:ind w:firstLine="0"/>
        <w:rPr>
          <w:rFonts w:ascii="宋体" w:hAnsi="宋体" w:eastAsia="宋体" w:cs="宋体"/>
          <w:color w:val="auto"/>
        </w:rPr>
      </w:pPr>
      <w:r>
        <w:rPr>
          <w:rFonts w:cs="宋体" w:asciiTheme="minorEastAsia" w:hAnsiTheme="minorEastAsia" w:eastAsiaTheme="minorEastAsia"/>
          <w:bCs/>
          <w:color w:val="auto"/>
          <w:sz w:val="30"/>
          <w:szCs w:val="30"/>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57632739"/>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hint="eastAsia" w:ascii="宋体" w:hAnsi="宋体" w:eastAsia="宋体" w:cs="宋体"/>
          <w:color w:val="auto"/>
          <w:lang w:val="zh-TW" w:eastAsia="zh-TW"/>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w:t>
      </w:r>
      <w:r>
        <w:rPr>
          <w:rFonts w:hint="eastAsia" w:ascii="宋体" w:hAnsi="宋体" w:eastAsia="宋体" w:cs="宋体"/>
          <w:color w:val="auto"/>
          <w:lang w:val="zh-TW" w:eastAsia="zh-TW"/>
        </w:rPr>
        <w:t>采购方式,对天津滨海职业学院小额工程维修入围项目实施采购。现欢迎合格的供应商参加采购。</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天津滨海职业学院小额工程维修入围项目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BYXY-2022-XN-028</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hint="eastAsia" w:ascii="宋体" w:hAnsi="宋体" w:eastAsia="宋体" w:cs="宋体"/>
          <w:color w:val="auto"/>
        </w:rPr>
        <w:t>2.简要规格描述：详见采购文件</w:t>
      </w:r>
    </w:p>
    <w:p>
      <w:pPr>
        <w:pStyle w:val="5"/>
        <w:widowControl/>
        <w:ind w:firstLine="480"/>
        <w:rPr>
          <w:rFonts w:ascii="宋体" w:hAnsi="宋体" w:eastAsia="宋体" w:cs="宋体"/>
          <w:color w:val="auto"/>
          <w:lang w:val="zh-TW"/>
        </w:rPr>
      </w:pPr>
      <w:r>
        <w:rPr>
          <w:rFonts w:hint="eastAsia" w:ascii="宋体" w:hAnsi="宋体" w:eastAsia="宋体" w:cs="宋体"/>
          <w:color w:val="auto"/>
          <w:lang w:val="zh-TW"/>
        </w:rPr>
        <w:t>3.本项目不接受进口产品参与采购</w:t>
      </w:r>
    </w:p>
    <w:p>
      <w:pPr>
        <w:pStyle w:val="5"/>
        <w:widowControl/>
        <w:ind w:firstLine="482"/>
        <w:rPr>
          <w:rFonts w:ascii="宋体" w:hAnsi="宋体" w:cs="宋体" w:eastAsiaTheme="minorEastAsia"/>
          <w:b/>
          <w:color w:val="auto"/>
        </w:rPr>
      </w:pPr>
      <w:r>
        <w:rPr>
          <w:rFonts w:ascii="宋体" w:hAnsi="宋体" w:eastAsia="宋体" w:cs="宋体"/>
          <w:b/>
          <w:color w:val="auto"/>
          <w:lang w:val="zh-TW" w:eastAsia="zh-TW"/>
        </w:rPr>
        <w:t>三、项目预算：</w:t>
      </w:r>
      <w:r>
        <w:rPr>
          <w:rFonts w:hint="eastAsia" w:ascii="宋体" w:hAnsi="宋体" w:eastAsia="PMingLiU" w:cs="宋体"/>
          <w:b/>
          <w:color w:val="auto"/>
          <w:lang w:val="zh-TW" w:eastAsia="zh-TW"/>
        </w:rPr>
        <w:t>入围，以实际工程量结算</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2.财务状况报告等相关材料：</w:t>
      </w:r>
    </w:p>
    <w:p>
      <w:pPr>
        <w:spacing w:line="360" w:lineRule="auto"/>
        <w:ind w:firstLine="446"/>
        <w:jc w:val="both"/>
        <w:rPr>
          <w:rFonts w:ascii="宋体" w:hAnsi="宋体" w:eastAsia="宋体"/>
          <w:lang w:eastAsia="zh-CN"/>
        </w:rPr>
      </w:pPr>
      <w:r>
        <w:rPr>
          <w:rFonts w:hint="eastAsia" w:ascii="宋体" w:hAnsi="宋体" w:eastAsia="宋体"/>
          <w:lang w:eastAsia="zh-CN"/>
        </w:rPr>
        <w:t>（1）提供2020年度或2022年度经第三方会计师事务所审计的企业财务报告；</w:t>
      </w:r>
    </w:p>
    <w:p>
      <w:pPr>
        <w:spacing w:line="360" w:lineRule="auto"/>
        <w:ind w:firstLine="446"/>
        <w:jc w:val="both"/>
        <w:rPr>
          <w:rFonts w:ascii="宋体" w:hAnsi="宋体" w:eastAsia="宋体"/>
          <w:lang w:eastAsia="zh-CN"/>
        </w:rPr>
      </w:pPr>
      <w:r>
        <w:rPr>
          <w:rFonts w:hint="eastAsia" w:ascii="宋体" w:hAnsi="宋体" w:eastAsia="宋体"/>
          <w:lang w:eastAsia="zh-CN"/>
        </w:rPr>
        <w:t>（2）提供开标前3个月内银行出具的资信证明。</w:t>
      </w:r>
    </w:p>
    <w:p>
      <w:pPr>
        <w:spacing w:line="360" w:lineRule="auto"/>
        <w:ind w:firstLine="446"/>
        <w:jc w:val="both"/>
        <w:rPr>
          <w:rFonts w:ascii="宋体" w:hAnsi="宋体" w:eastAsia="宋体"/>
          <w:lang w:eastAsia="zh-CN"/>
        </w:rPr>
      </w:pPr>
      <w:r>
        <w:rPr>
          <w:rFonts w:hint="eastAsia" w:ascii="宋体" w:hAnsi="宋体" w:eastAsia="宋体"/>
          <w:lang w:eastAsia="zh-CN"/>
        </w:rPr>
        <w:t>注：（1）、（2）两项提供任一项即可。</w:t>
      </w:r>
    </w:p>
    <w:p>
      <w:pPr>
        <w:spacing w:line="360" w:lineRule="auto"/>
        <w:ind w:firstLine="446"/>
        <w:jc w:val="both"/>
        <w:rPr>
          <w:rFonts w:ascii="宋体" w:hAnsi="宋体" w:eastAsia="宋体"/>
          <w:lang w:eastAsia="zh-CN"/>
        </w:rPr>
      </w:pPr>
      <w:r>
        <w:rPr>
          <w:rFonts w:hint="eastAsia" w:ascii="宋体" w:hAnsi="宋体" w:eastAsia="宋体"/>
          <w:lang w:eastAsia="zh-CN"/>
        </w:rPr>
        <w:t>3.2022年1月1日至提交响应文件前至少1个月的依法缴纳税收和社会保险费的相关证明材料。</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eastAsia="宋体" w:cs="宋体"/>
          <w:sz w:val="28"/>
          <w:szCs w:val="28"/>
          <w:lang w:val="zh-TW" w:eastAsia="zh-TW"/>
        </w:rPr>
      </w:pPr>
      <w:r>
        <w:rPr>
          <w:rFonts w:hint="eastAsia" w:ascii="宋体" w:hAnsi="宋体" w:cs="宋体"/>
          <w:b/>
          <w:bCs/>
          <w:lang w:eastAsia="zh-CN"/>
        </w:rPr>
        <w:t>五、获取采购文件（见采购</w:t>
      </w:r>
      <w:r>
        <w:rPr>
          <w:rFonts w:ascii="宋体" w:hAnsi="宋体" w:cs="宋体"/>
          <w:b/>
          <w:bCs/>
          <w:lang w:eastAsia="zh-CN"/>
        </w:rPr>
        <w:t>公告</w:t>
      </w:r>
      <w:r>
        <w:rPr>
          <w:rFonts w:hint="eastAsia" w:ascii="宋体" w:hAnsi="宋体" w:cs="宋体"/>
          <w:b/>
          <w:bCs/>
          <w:lang w:eastAsia="zh-CN"/>
        </w:rPr>
        <w:t>）</w:t>
      </w:r>
      <w:bookmarkStart w:id="1" w:name="_Toc57632740"/>
      <w:r>
        <w:rPr>
          <w:rFonts w:ascii="宋体" w:hAnsi="宋体" w:eastAsia="宋体" w:cs="宋体"/>
          <w:sz w:val="28"/>
          <w:szCs w:val="28"/>
          <w:lang w:val="zh-TW" w:eastAsia="zh-TW"/>
        </w:rPr>
        <w:br w:type="page"/>
      </w:r>
    </w:p>
    <w:p>
      <w:pPr>
        <w:pStyle w:val="4"/>
        <w:spacing w:line="480" w:lineRule="auto"/>
        <w:ind w:firstLine="0"/>
        <w:rPr>
          <w:rFonts w:ascii="宋体" w:hAnsi="宋体" w:eastAsia="宋体" w:cs="宋体"/>
          <w:b w:val="0"/>
          <w:bCs w:val="0"/>
          <w:color w:val="auto"/>
          <w:sz w:val="28"/>
          <w:szCs w:val="28"/>
          <w:lang w:val="zh-TW" w:eastAsia="zh-TW"/>
        </w:rPr>
      </w:pPr>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1"/>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天津滨海职业学院小额工程维修入围项目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2" w:name="_Toc57632741"/>
      <w:r>
        <w:rPr>
          <w:rFonts w:ascii="宋体" w:hAnsi="宋体" w:eastAsia="宋体" w:cs="宋体"/>
          <w:b/>
          <w:bCs/>
          <w:color w:val="auto"/>
          <w:lang w:val="zh-TW" w:eastAsia="zh-TW"/>
        </w:rPr>
        <w:t>一、项目内容</w:t>
      </w:r>
      <w:bookmarkEnd w:id="2"/>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天津滨海职业学院小额工程维修入围项目</w:t>
      </w:r>
    </w:p>
    <w:p>
      <w:pPr>
        <w:pStyle w:val="6"/>
        <w:spacing w:line="360" w:lineRule="auto"/>
        <w:ind w:firstLine="282"/>
        <w:rPr>
          <w:rFonts w:ascii="宋体" w:hAnsi="宋体" w:eastAsia="宋体" w:cs="宋体"/>
          <w:b/>
          <w:bCs/>
          <w:color w:val="auto"/>
          <w:lang w:val="zh-TW" w:eastAsia="zh-TW"/>
        </w:rPr>
      </w:pPr>
      <w:bookmarkStart w:id="3"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3"/>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4"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4"/>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5"/>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w:t>
      </w:r>
      <w:r>
        <w:rPr>
          <w:rStyle w:val="316"/>
          <w:rFonts w:hint="eastAsia"/>
          <w:lang w:eastAsia="zh-CN"/>
        </w:rPr>
        <w:t>务符合相关强制性规定，符合国家地方管理部门法律、法规、规范的要求；满足相关管理部门对成果审核的要求。交付使用时采购人有权要求供应商出具所供产品、服务符</w:t>
      </w:r>
      <w:r>
        <w:rPr>
          <w:rFonts w:hint="eastAsia" w:ascii="宋体" w:hAnsi="宋体" w:eastAsia="宋体" w:cs="宋体"/>
          <w:kern w:val="2"/>
          <w:u w:color="000000"/>
          <w:lang w:val="zh-TW" w:eastAsia="zh-CN"/>
        </w:rPr>
        <w:t>合上述规定的证明文件。</w:t>
      </w:r>
    </w:p>
    <w:p>
      <w:pPr>
        <w:widowControl w:val="0"/>
        <w:numPr>
          <w:ilvl w:val="0"/>
          <w:numId w:val="2"/>
        </w:numPr>
        <w:tabs>
          <w:tab w:val="left" w:pos="709"/>
        </w:tabs>
        <w:spacing w:line="360" w:lineRule="auto"/>
        <w:ind w:left="0" w:firstLine="425"/>
        <w:jc w:val="both"/>
        <w:rPr>
          <w:rFonts w:ascii="宋体" w:hAnsi="宋体" w:eastAsia="宋体" w:cs="宋体"/>
          <w:kern w:val="2"/>
          <w:u w:color="000000"/>
          <w:lang w:val="zh-TW" w:eastAsia="zh-CN"/>
        </w:rPr>
      </w:pPr>
      <w:r>
        <w:rPr>
          <w:rFonts w:hint="eastAsia" w:ascii="宋体" w:hAnsi="宋体" w:eastAsia="宋体" w:cs="宋体"/>
          <w:color w:val="FF0000"/>
          <w:kern w:val="2"/>
          <w:u w:color="000000"/>
          <w:lang w:val="zh-TW" w:eastAsia="zh-CN"/>
        </w:rPr>
        <w:t>供应商</w:t>
      </w:r>
      <w:r>
        <w:rPr>
          <w:rFonts w:ascii="宋体" w:hAnsi="宋体" w:eastAsia="宋体" w:cs="宋体"/>
          <w:color w:val="FF0000"/>
          <w:kern w:val="2"/>
          <w:u w:color="000000"/>
          <w:lang w:val="zh-TW" w:eastAsia="zh-TW"/>
        </w:rPr>
        <w:t>须</w:t>
      </w:r>
      <w:r>
        <w:rPr>
          <w:rFonts w:hint="eastAsia" w:ascii="宋体" w:hAnsi="宋体" w:eastAsia="宋体" w:cs="宋体"/>
          <w:color w:val="FF0000"/>
          <w:kern w:val="2"/>
          <w:u w:color="000000"/>
          <w:lang w:val="zh-TW" w:eastAsia="zh-TW"/>
        </w:rPr>
        <w:t>具有履行合同所必须的专业技术能力</w:t>
      </w:r>
      <w:r>
        <w:rPr>
          <w:rFonts w:hint="eastAsia" w:ascii="宋体" w:hAnsi="宋体" w:eastAsia="宋体" w:cs="宋体"/>
          <w:color w:val="FF0000"/>
          <w:kern w:val="2"/>
          <w:u w:color="000000"/>
          <w:lang w:val="zh-TW" w:eastAsia="zh-CN"/>
        </w:rPr>
        <w:t>，</w:t>
      </w:r>
      <w:r>
        <w:rPr>
          <w:rFonts w:hint="eastAsia"/>
          <w:lang w:eastAsia="zh-CN"/>
        </w:rPr>
        <w:t>人员</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5"/>
        <w:jc w:val="both"/>
        <w:rPr>
          <w:rFonts w:hint="eastAsia" w:ascii="宋体" w:hAnsi="宋体" w:eastAsia="宋体" w:cs="宋体"/>
          <w:kern w:val="2"/>
          <w:u w:color="000000"/>
          <w:lang w:val="zh-TW" w:eastAsia="zh-CN"/>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w:t>
      </w:r>
      <w:r>
        <w:rPr>
          <w:rStyle w:val="316"/>
          <w:rFonts w:hint="eastAsia"/>
        </w:rPr>
        <w:t>律问</w:t>
      </w:r>
      <w:r>
        <w:rPr>
          <w:rFonts w:hint="eastAsia" w:ascii="宋体" w:hAnsi="宋体" w:eastAsia="宋体" w:cs="宋体"/>
          <w:kern w:val="2"/>
          <w:u w:color="000000"/>
          <w:lang w:val="zh-TW" w:eastAsia="zh-CN"/>
        </w:rPr>
        <w:t>题，由供应商自行承担责任。</w:t>
      </w:r>
    </w:p>
    <w:p>
      <w:pPr>
        <w:widowControl w:val="0"/>
        <w:numPr>
          <w:ilvl w:val="0"/>
          <w:numId w:val="2"/>
        </w:numPr>
        <w:tabs>
          <w:tab w:val="left" w:pos="709"/>
        </w:tabs>
        <w:spacing w:line="360" w:lineRule="auto"/>
        <w:ind w:left="0" w:firstLine="425"/>
        <w:jc w:val="both"/>
        <w:rPr>
          <w:rFonts w:hint="eastAsia" w:ascii="宋体" w:hAnsi="宋体" w:eastAsia="宋体" w:cs="宋体"/>
          <w:kern w:val="2"/>
          <w:u w:color="000000"/>
          <w:lang w:val="zh-TW" w:eastAsia="zh-CN"/>
        </w:rPr>
      </w:pPr>
      <w:r>
        <w:rPr>
          <w:rFonts w:hint="eastAsia" w:ascii="宋体" w:hAnsi="宋体" w:eastAsia="宋体" w:cs="宋体"/>
          <w:kern w:val="2"/>
          <w:u w:color="000000"/>
          <w:lang w:val="zh-TW" w:eastAsia="zh-CN"/>
        </w:rPr>
        <w:t>供应商须具有建筑工程施工总承包三级（新资质乙级）及以上资质和电力工程施工总承包三级（新资质乙级）及以上资质或机电工程施工总承包三级（新资质乙级）及以上资质或建筑机电安装工程专业承包三级（新资质：建筑机电工程专业承包乙级）及以上资质证书，且在有效期内。</w:t>
      </w:r>
    </w:p>
    <w:p>
      <w:pPr>
        <w:widowControl w:val="0"/>
        <w:numPr>
          <w:ilvl w:val="0"/>
          <w:numId w:val="2"/>
        </w:numPr>
        <w:tabs>
          <w:tab w:val="left" w:pos="709"/>
        </w:tabs>
        <w:spacing w:line="360" w:lineRule="auto"/>
        <w:ind w:left="0" w:firstLine="425"/>
        <w:jc w:val="both"/>
        <w:rPr>
          <w:rFonts w:hint="eastAsia" w:ascii="宋体" w:hAnsi="宋体" w:eastAsia="宋体" w:cs="宋体"/>
          <w:kern w:val="2"/>
          <w:u w:color="000000"/>
          <w:lang w:val="zh-TW" w:eastAsia="zh-CN"/>
        </w:rPr>
      </w:pPr>
      <w:r>
        <w:rPr>
          <w:rFonts w:hint="eastAsia" w:ascii="宋体" w:hAnsi="宋体" w:eastAsia="宋体" w:cs="宋体"/>
          <w:kern w:val="2"/>
          <w:u w:color="000000"/>
          <w:lang w:val="zh-TW" w:eastAsia="zh-CN"/>
        </w:rPr>
        <w:t>供应商须具有《安全生产许可证》，且在有效期内。</w:t>
      </w:r>
    </w:p>
    <w:p>
      <w:pPr>
        <w:pStyle w:val="2"/>
        <w:rPr>
          <w:lang w:val="en-US" w:eastAsia="zh-CN"/>
        </w:rPr>
      </w:pPr>
    </w:p>
    <w:p>
      <w:pPr>
        <w:pStyle w:val="6"/>
        <w:spacing w:line="360" w:lineRule="auto"/>
        <w:ind w:firstLine="282"/>
        <w:rPr>
          <w:rFonts w:ascii="宋体" w:hAnsi="宋体" w:eastAsia="宋体" w:cs="宋体"/>
          <w:b/>
          <w:bCs/>
          <w:color w:val="auto"/>
          <w:lang w:val="zh-TW" w:eastAsia="zh-TW"/>
        </w:rPr>
      </w:pPr>
      <w:bookmarkStart w:id="5"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5"/>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（1）本项目为</w:t>
      </w:r>
      <w:r>
        <w:rPr>
          <w:rFonts w:ascii="宋体" w:hAnsi="宋体" w:eastAsia="宋体" w:cs="宋体"/>
          <w:color w:val="auto"/>
        </w:rPr>
        <w:t>入围</w:t>
      </w:r>
      <w:r>
        <w:rPr>
          <w:rFonts w:hint="eastAsia" w:ascii="宋体" w:hAnsi="宋体" w:eastAsia="宋体" w:cs="宋体"/>
          <w:color w:val="auto"/>
        </w:rPr>
        <w:t>。</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highlight w:val="green"/>
          <w:u w:color="000000"/>
          <w:lang w:eastAsia="zh-CN"/>
        </w:rPr>
        <w:t>运输费、</w:t>
      </w:r>
      <w:r>
        <w:rPr>
          <w:rFonts w:ascii="宋体" w:hAnsi="宋体" w:eastAsia="宋体" w:cs="宋体"/>
          <w:kern w:val="2"/>
          <w:highlight w:val="green"/>
          <w:u w:color="000000"/>
          <w:lang w:eastAsia="zh-CN"/>
        </w:rPr>
        <w:t>安装费</w:t>
      </w:r>
      <w:r>
        <w:rPr>
          <w:rFonts w:hint="eastAsia" w:ascii="宋体" w:hAnsi="宋体" w:eastAsia="宋体" w:cs="宋体"/>
          <w:kern w:val="2"/>
          <w:highlight w:val="green"/>
          <w:u w:color="000000"/>
          <w:lang w:eastAsia="zh-TW"/>
        </w:rPr>
        <w:t>、人员费、利润及税金等</w:t>
      </w:r>
      <w:r>
        <w:rPr>
          <w:rFonts w:hint="eastAsia" w:ascii="宋体" w:hAnsi="宋体" w:eastAsia="宋体" w:cs="宋体"/>
          <w:kern w:val="2"/>
          <w:u w:color="000000"/>
          <w:lang w:eastAsia="zh-TW"/>
        </w:rPr>
        <w:t>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widowControl w:val="0"/>
        <w:spacing w:line="360" w:lineRule="auto"/>
        <w:ind w:firstLine="388" w:firstLineChars="162"/>
        <w:jc w:val="both"/>
        <w:rPr>
          <w:rFonts w:ascii="宋体" w:hAnsi="宋体" w:eastAsia="PMingLiU" w:cs="宋体"/>
          <w:kern w:val="2"/>
          <w:szCs w:val="20"/>
          <w:lang w:val="zh-TW" w:eastAsia="zh-TW"/>
        </w:rPr>
      </w:pPr>
      <w:r>
        <w:rPr>
          <w:rFonts w:hint="eastAsia" w:ascii="宋体" w:hAnsi="宋体" w:eastAsia="宋体" w:cs="宋体"/>
          <w:kern w:val="2"/>
          <w:szCs w:val="20"/>
          <w:highlight w:val="yellow"/>
          <w:lang w:val="zh-TW" w:eastAsia="zh-CN"/>
        </w:rPr>
        <w:t>★1.</w:t>
      </w:r>
      <w:r>
        <w:rPr>
          <w:rFonts w:hint="eastAsia" w:ascii="宋体" w:hAnsi="宋体" w:eastAsia="宋体" w:cs="宋体"/>
          <w:kern w:val="2"/>
          <w:szCs w:val="20"/>
          <w:lang w:val="zh-TW" w:eastAsia="zh-CN"/>
        </w:rPr>
        <w:t>详见</w:t>
      </w:r>
      <w:r>
        <w:rPr>
          <w:rFonts w:ascii="宋体" w:hAnsi="宋体" w:eastAsia="PMingLiU" w:cs="宋体"/>
          <w:kern w:val="2"/>
          <w:szCs w:val="20"/>
          <w:lang w:val="zh-TW" w:eastAsia="zh-TW"/>
        </w:rPr>
        <w:t>需求书</w:t>
      </w:r>
    </w:p>
    <w:p>
      <w:pPr>
        <w:widowControl w:val="0"/>
        <w:spacing w:line="360" w:lineRule="auto"/>
        <w:ind w:firstLine="388" w:firstLineChars="162"/>
        <w:jc w:val="both"/>
        <w:rPr>
          <w:rFonts w:ascii="宋体" w:hAnsi="宋体" w:eastAsia="宋体" w:cs="宋体"/>
          <w:b/>
          <w:kern w:val="2"/>
          <w:u w:color="000000"/>
          <w:lang w:val="zh-TW" w:eastAsia="zh-CN"/>
        </w:rPr>
      </w:pPr>
      <w:r>
        <w:rPr>
          <w:rFonts w:ascii="宋体" w:hAnsi="宋体" w:eastAsia="宋体" w:cs="宋体"/>
          <w:kern w:val="2"/>
          <w:u w:color="000000"/>
          <w:lang w:eastAsia="zh-CN"/>
        </w:rPr>
        <w:t>4.</w:t>
      </w:r>
      <w:r>
        <w:rPr>
          <w:rFonts w:hint="eastAsia" w:ascii="宋体" w:hAnsi="宋体" w:eastAsia="宋体" w:cs="宋体"/>
          <w:kern w:val="2"/>
          <w:u w:color="000000"/>
          <w:lang w:val="zh-TW" w:eastAsia="zh-CN"/>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CN"/>
        </w:rPr>
        <w:t>：</w:t>
      </w:r>
    </w:p>
    <w:p>
      <w:pPr>
        <w:spacing w:line="360" w:lineRule="auto"/>
        <w:ind w:firstLine="284"/>
        <w:rPr>
          <w:rFonts w:ascii="微软雅黑" w:hAnsi="微软雅黑" w:eastAsia="微软雅黑" w:cs="宋体"/>
          <w:lang w:eastAsia="zh-CN"/>
        </w:rPr>
      </w:pPr>
      <w:r>
        <w:rPr>
          <w:rFonts w:hint="eastAsia" w:cs="宋体" w:asciiTheme="minorEastAsia" w:hAnsiTheme="minorEastAsia"/>
          <w:u w:color="FF0000"/>
          <w:lang w:val="zh-TW" w:eastAsia="zh-TW"/>
        </w:rPr>
        <w:t>（</w:t>
      </w:r>
      <w:r>
        <w:rPr>
          <w:rFonts w:cs="宋体" w:asciiTheme="minorEastAsia" w:hAnsiTheme="minorEastAsia"/>
          <w:u w:color="FF0000"/>
          <w:lang w:eastAsia="zh-CN"/>
        </w:rPr>
        <w:t>1</w:t>
      </w:r>
      <w:r>
        <w:rPr>
          <w:rFonts w:hint="eastAsia" w:cs="宋体" w:asciiTheme="minorEastAsia" w:hAnsiTheme="minorEastAsia"/>
          <w:u w:color="FF0000"/>
          <w:lang w:val="zh-TW" w:eastAsia="zh-TW"/>
        </w:rPr>
        <w:t>）</w:t>
      </w:r>
      <w:r>
        <w:rPr>
          <w:rFonts w:hint="eastAsia" w:cs="宋体" w:asciiTheme="minorEastAsia" w:hAnsiTheme="minorEastAsia"/>
          <w:lang w:eastAsia="zh-CN"/>
        </w:rPr>
        <w:t>服务期：</w:t>
      </w:r>
      <w:r>
        <w:rPr>
          <w:rFonts w:hint="eastAsia" w:ascii="宋体" w:hAnsi="宋体" w:cs="宋体"/>
          <w:color w:val="000000"/>
          <w:szCs w:val="21"/>
          <w:lang w:eastAsia="zh-CN" w:bidi="ar"/>
        </w:rPr>
        <w:t>签订合同之</w:t>
      </w:r>
      <w:r>
        <w:rPr>
          <w:rFonts w:hint="eastAsia" w:ascii="宋体" w:hAnsi="宋体" w:cs="宋体"/>
          <w:color w:val="000000"/>
          <w:szCs w:val="21"/>
          <w:highlight w:val="green"/>
          <w:lang w:eastAsia="zh-CN" w:bidi="ar"/>
        </w:rPr>
        <w:t>日</w:t>
      </w:r>
      <w:r>
        <w:rPr>
          <w:rFonts w:hint="eastAsia" w:ascii="宋体" w:hAnsi="宋体" w:cs="宋体"/>
          <w:color w:val="000000"/>
          <w:szCs w:val="21"/>
          <w:lang w:eastAsia="zh-CN" w:bidi="ar"/>
        </w:rPr>
        <w:t>起三年（特殊情况以合同为准）</w:t>
      </w:r>
      <w:r>
        <w:rPr>
          <w:rFonts w:hint="eastAsia" w:cs="宋体" w:asciiTheme="minorEastAsia" w:hAnsiTheme="minorEastAsia"/>
          <w:lang w:eastAsia="zh-CN"/>
        </w:rPr>
        <w:t>，（特殊情况以合同为准）</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auto"/>
          <w:lang w:val="zh-TW"/>
        </w:rPr>
      </w:pPr>
      <w:r>
        <w:rPr>
          <w:rFonts w:hint="eastAsia" w:ascii="宋体" w:hAnsi="宋体" w:eastAsia="宋体" w:cs="宋体"/>
          <w:color w:val="auto"/>
          <w:highlight w:val="yellow"/>
          <w:lang w:val="zh-TW"/>
        </w:rPr>
        <w:t>按后期</w:t>
      </w:r>
      <w:r>
        <w:rPr>
          <w:rFonts w:ascii="宋体" w:hAnsi="宋体" w:eastAsia="宋体" w:cs="宋体"/>
          <w:color w:val="auto"/>
          <w:highlight w:val="yellow"/>
          <w:lang w:val="zh-TW"/>
        </w:rPr>
        <w:t>项目结算，付款遵守学院相关规定</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6"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6"/>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5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985"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（1）2020年度经第三方会计师事务所审计的企业财务报告的复印件附于响应文件内；</w:t>
            </w:r>
          </w:p>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（2）2022年度银行出具的资信证明的复印件附于响应文件内；</w:t>
            </w:r>
          </w:p>
          <w:p>
            <w:pPr>
              <w:widowControl w:val="0"/>
              <w:adjustRightInd w:val="0"/>
              <w:snapToGrid w:val="0"/>
              <w:spacing w:line="320" w:lineRule="exact"/>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2022年1月1日至提交响应文件截止日期前至少1个月的依法缴纳税收的相关证明材料复印件附于响应文件内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2022年1月1日至提交响应文件截止日期前至少1个月的依法缴纳社会保险费的相关证明材料复印件附于响应文件内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相关</w:t>
            </w:r>
            <w:r>
              <w:rPr>
                <w:rFonts w:ascii="宋体" w:hAnsi="宋体" w:eastAsia="宋体" w:cs="宋体"/>
                <w:kern w:val="2"/>
                <w:sz w:val="21"/>
                <w:szCs w:val="21"/>
                <w:highlight w:val="yellow"/>
                <w:lang w:val="zh-CN" w:eastAsia="zh-CN"/>
              </w:rPr>
              <w:t>资质证明</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提供</w:t>
            </w:r>
            <w:r>
              <w:rPr>
                <w:rFonts w:ascii="宋体" w:hAnsi="宋体" w:eastAsia="宋体" w:cs="宋体"/>
                <w:kern w:val="2"/>
                <w:sz w:val="21"/>
                <w:szCs w:val="21"/>
                <w:highlight w:val="yellow"/>
                <w:lang w:eastAsia="zh-CN"/>
              </w:rPr>
              <w:t>资质</w:t>
            </w:r>
            <w:r>
              <w:rPr>
                <w:rFonts w:hint="eastAsia" w:ascii="宋体" w:hAnsi="宋体" w:eastAsia="宋体" w:cs="宋体"/>
                <w:kern w:val="2"/>
                <w:sz w:val="21"/>
                <w:szCs w:val="21"/>
                <w:highlight w:val="yellow"/>
                <w:lang w:eastAsia="zh-CN"/>
              </w:rPr>
              <w:t>复印件加盖</w:t>
            </w:r>
            <w:r>
              <w:rPr>
                <w:rFonts w:ascii="宋体" w:hAnsi="宋体" w:eastAsia="宋体" w:cs="宋体"/>
                <w:kern w:val="2"/>
                <w:sz w:val="21"/>
                <w:szCs w:val="21"/>
                <w:highlight w:val="yellow"/>
                <w:lang w:eastAsia="zh-CN"/>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lang w:eastAsia="zh-CN"/>
              </w:rPr>
            </w:pP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lang w:eastAsia="zh-CN"/>
              </w:rPr>
            </w:pPr>
            <w:r>
              <w:rPr>
                <w:rFonts w:hint="eastAsia" w:ascii="宋体" w:hAnsi="宋体" w:cs="宋体"/>
                <w:sz w:val="21"/>
                <w:szCs w:val="21"/>
                <w:lang w:eastAsia="zh-CN"/>
              </w:rPr>
              <w:t>7</w:t>
            </w:r>
          </w:p>
        </w:tc>
        <w:tc>
          <w:tcPr>
            <w:tcW w:w="2985" w:type="dxa"/>
            <w:vAlign w:val="center"/>
          </w:tcPr>
          <w:p>
            <w:pPr>
              <w:spacing w:line="320" w:lineRule="exact"/>
              <w:rPr>
                <w:rFonts w:ascii="宋体" w:hAnsi="宋体" w:eastAsia="宋体" w:cs="宋体"/>
                <w:kern w:val="2"/>
                <w:sz w:val="21"/>
                <w:szCs w:val="21"/>
                <w:lang w:val="zh-CN" w:eastAsia="zh-CN"/>
              </w:rPr>
            </w:pPr>
            <w:r>
              <w:rPr>
                <w:rFonts w:hint="eastAsia" w:ascii="宋体" w:hAnsi="宋体" w:eastAsia="宋体" w:cs="宋体"/>
                <w:sz w:val="21"/>
                <w:szCs w:val="21"/>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lang w:eastAsia="zh-CN"/>
              </w:rPr>
            </w:pPr>
            <w:r>
              <w:rPr>
                <w:rFonts w:hint="eastAsia" w:ascii="宋体" w:hAnsi="宋体" w:eastAsia="宋体" w:cs="宋体"/>
                <w:sz w:val="21"/>
                <w:szCs w:val="21"/>
                <w:lang w:eastAsia="zh-CN"/>
              </w:rPr>
              <w:t>原件（加盖公章、由法定代表人签字或盖章）附于响应文件内</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b/>
          <w:bCs/>
          <w:kern w:val="2"/>
          <w:highlight w:val="yellow"/>
          <w:u w:color="000000"/>
          <w:lang w:eastAsia="zh-CN"/>
        </w:rPr>
      </w:pPr>
      <w:r>
        <w:rPr>
          <w:rFonts w:ascii="宋体" w:hAnsi="宋体" w:eastAsia="宋体" w:cs="宋体"/>
          <w:b/>
          <w:bCs/>
          <w:kern w:val="2"/>
          <w:highlight w:val="yellow"/>
          <w:u w:color="000000"/>
          <w:lang w:eastAsia="zh-CN"/>
        </w:rPr>
        <w:t>3.</w:t>
      </w:r>
      <w:r>
        <w:rPr>
          <w:rFonts w:hint="eastAsia" w:ascii="宋体" w:hAnsi="宋体" w:eastAsia="宋体" w:cs="宋体"/>
          <w:b/>
          <w:bCs/>
          <w:kern w:val="2"/>
          <w:highlight w:val="yellow"/>
          <w:u w:color="000000"/>
          <w:lang w:val="zh-TW" w:eastAsia="zh-CN"/>
        </w:rPr>
        <w:t>评定成交的方法</w:t>
      </w:r>
    </w:p>
    <w:p>
      <w:pPr>
        <w:widowControl w:val="0"/>
        <w:spacing w:line="360" w:lineRule="auto"/>
        <w:ind w:firstLine="964" w:firstLineChars="400"/>
        <w:jc w:val="both"/>
        <w:rPr>
          <w:rFonts w:ascii="宋体" w:hAnsi="宋体" w:eastAsia="宋体" w:cs="宋体"/>
          <w:b/>
          <w:bCs/>
          <w:kern w:val="2"/>
          <w:highlight w:val="yellow"/>
          <w:u w:color="000000"/>
          <w:lang w:val="zh-TW" w:eastAsia="zh-TW"/>
        </w:rPr>
      </w:pPr>
      <w:r>
        <w:rPr>
          <w:rFonts w:hint="eastAsia" w:ascii="宋体" w:hAnsi="宋体" w:eastAsia="宋体" w:cs="宋体"/>
          <w:b/>
          <w:bCs/>
          <w:kern w:val="2"/>
          <w:highlight w:val="yellow"/>
          <w:u w:color="000000"/>
          <w:lang w:val="zh-TW" w:eastAsia="zh-CN"/>
        </w:rPr>
        <w:t>根据</w:t>
      </w:r>
      <w:r>
        <w:rPr>
          <w:rFonts w:hint="eastAsia" w:ascii="宋体" w:hAnsi="宋体" w:eastAsia="宋体" w:cs="宋体"/>
          <w:b/>
          <w:bCs/>
          <w:kern w:val="2"/>
          <w:highlight w:val="yellow"/>
          <w:u w:color="000000"/>
          <w:lang w:val="zh-TW" w:eastAsia="zh-TW"/>
        </w:rPr>
        <w:t>“</w:t>
      </w:r>
      <w:r>
        <w:rPr>
          <w:rFonts w:hint="eastAsia" w:ascii="宋体" w:hAnsi="宋体" w:eastAsia="宋体" w:cs="宋体"/>
          <w:b/>
          <w:bCs/>
          <w:kern w:val="2"/>
          <w:highlight w:val="yellow"/>
          <w:u w:color="000000"/>
          <w:lang w:val="zh-TW" w:eastAsia="zh-CN"/>
        </w:rPr>
        <w:t>企业资质</w:t>
      </w:r>
      <w:r>
        <w:rPr>
          <w:rFonts w:hint="eastAsia" w:ascii="宋体" w:hAnsi="宋体" w:eastAsia="宋体" w:cs="宋体"/>
          <w:b/>
          <w:bCs/>
          <w:kern w:val="2"/>
          <w:highlight w:val="yellow"/>
          <w:u w:color="000000"/>
          <w:lang w:val="zh-TW" w:eastAsia="zh-TW"/>
        </w:rPr>
        <w:t>”</w:t>
      </w:r>
      <w:r>
        <w:rPr>
          <w:rFonts w:hint="eastAsia" w:ascii="宋体" w:hAnsi="宋体" w:eastAsia="宋体" w:cs="宋体"/>
          <w:b/>
          <w:bCs/>
          <w:kern w:val="2"/>
          <w:highlight w:val="yellow"/>
          <w:u w:color="000000"/>
          <w:lang w:val="zh-TW" w:eastAsia="zh-CN"/>
        </w:rPr>
        <w:t>、</w:t>
      </w:r>
      <w:r>
        <w:rPr>
          <w:rFonts w:ascii="宋体" w:hAnsi="宋体" w:eastAsia="宋体" w:cs="宋体"/>
          <w:b/>
          <w:bCs/>
          <w:kern w:val="2"/>
          <w:highlight w:val="yellow"/>
          <w:u w:color="000000"/>
          <w:lang w:val="zh-TW" w:eastAsia="zh-CN"/>
        </w:rPr>
        <w:t>“</w:t>
      </w:r>
      <w:r>
        <w:rPr>
          <w:rFonts w:hint="eastAsia" w:ascii="宋体" w:hAnsi="宋体" w:eastAsia="宋体" w:cs="宋体"/>
          <w:b/>
          <w:bCs/>
          <w:kern w:val="2"/>
          <w:highlight w:val="yellow"/>
          <w:u w:color="000000"/>
          <w:lang w:val="zh-TW" w:eastAsia="zh-CN"/>
        </w:rPr>
        <w:t>企业</w:t>
      </w:r>
      <w:r>
        <w:rPr>
          <w:rFonts w:ascii="宋体" w:hAnsi="宋体" w:eastAsia="宋体" w:cs="宋体"/>
          <w:b/>
          <w:bCs/>
          <w:kern w:val="2"/>
          <w:highlight w:val="yellow"/>
          <w:u w:color="000000"/>
          <w:lang w:val="zh-TW" w:eastAsia="zh-CN"/>
        </w:rPr>
        <w:t>业绩”</w:t>
      </w:r>
      <w:r>
        <w:rPr>
          <w:rFonts w:hint="eastAsia" w:ascii="宋体" w:hAnsi="宋体" w:eastAsia="宋体" w:cs="宋体"/>
          <w:b/>
          <w:bCs/>
          <w:kern w:val="2"/>
          <w:highlight w:val="yellow"/>
          <w:u w:color="000000"/>
          <w:lang w:val="zh-TW" w:eastAsia="zh-TW"/>
        </w:rPr>
        <w:t>与“主观评审”综合的评审方法。</w:t>
      </w:r>
    </w:p>
    <w:p>
      <w:pPr>
        <w:widowControl w:val="0"/>
        <w:spacing w:line="360" w:lineRule="auto"/>
        <w:ind w:firstLine="480"/>
        <w:jc w:val="both"/>
        <w:rPr>
          <w:rFonts w:ascii="宋体" w:hAnsi="宋体" w:eastAsia="PMingLiU" w:cs="宋体"/>
          <w:b/>
          <w:bCs/>
          <w:highlight w:val="yellow"/>
          <w:lang w:val="zh-TW" w:eastAsia="zh-CN"/>
        </w:rPr>
      </w:pPr>
      <w:r>
        <w:rPr>
          <w:rFonts w:hint="eastAsia" w:ascii="宋体" w:hAnsi="宋体" w:eastAsia="宋体" w:cs="宋体"/>
          <w:b/>
          <w:bCs/>
          <w:kern w:val="2"/>
          <w:highlight w:val="yellow"/>
          <w:u w:color="000000"/>
          <w:lang w:val="zh-TW" w:eastAsia="zh-TW"/>
        </w:rPr>
        <w:t xml:space="preserve">   主观</w:t>
      </w:r>
      <w:r>
        <w:rPr>
          <w:rFonts w:hint="eastAsia" w:ascii="宋体" w:hAnsi="宋体" w:eastAsia="宋体" w:cs="宋体"/>
          <w:b/>
          <w:bCs/>
          <w:kern w:val="2"/>
          <w:highlight w:val="yellow"/>
          <w:u w:color="000000"/>
          <w:lang w:val="zh-TW" w:eastAsia="zh-CN"/>
        </w:rPr>
        <w:t>评审</w:t>
      </w:r>
      <w:r>
        <w:rPr>
          <w:rFonts w:hint="eastAsia" w:ascii="宋体" w:hAnsi="宋体" w:eastAsia="宋体" w:cs="宋体"/>
          <w:b/>
          <w:bCs/>
          <w:kern w:val="2"/>
          <w:highlight w:val="yellow"/>
          <w:u w:color="000000"/>
          <w:lang w:val="zh-TW" w:eastAsia="zh-TW"/>
        </w:rPr>
        <w:t>方法：投标商结合项目需求，准备3分钟项目说明。并回答评标代表2个问题。评标人根据投标书现场响应与问题回答进行打分</w:t>
      </w:r>
      <w:r>
        <w:rPr>
          <w:rFonts w:hint="eastAsia" w:ascii="宋体" w:hAnsi="宋体" w:eastAsia="宋体" w:cs="宋体"/>
          <w:b/>
          <w:bCs/>
          <w:kern w:val="2"/>
          <w:highlight w:val="yellow"/>
          <w:u w:color="000000"/>
          <w:lang w:val="zh-TW" w:eastAsia="zh-CN"/>
        </w:rPr>
        <w:t>。</w:t>
      </w:r>
    </w:p>
    <w:p>
      <w:pPr>
        <w:widowControl w:val="0"/>
        <w:spacing w:line="360" w:lineRule="auto"/>
        <w:ind w:firstLine="602" w:firstLineChars="250"/>
        <w:jc w:val="both"/>
        <w:rPr>
          <w:rFonts w:ascii="宋体" w:hAnsi="宋体" w:eastAsia="宋体" w:cs="宋体"/>
          <w:kern w:val="2"/>
          <w:u w:color="000000"/>
          <w:lang w:val="zh-TW" w:eastAsia="zh-TW"/>
        </w:rPr>
      </w:pPr>
      <w:r>
        <w:rPr>
          <w:rFonts w:hint="eastAsia" w:ascii="宋体" w:hAnsi="宋体" w:eastAsia="宋体" w:cs="宋体"/>
          <w:b/>
          <w:bCs/>
          <w:kern w:val="2"/>
          <w:highlight w:val="yellow"/>
          <w:u w:color="000000"/>
          <w:lang w:eastAsia="zh-CN"/>
        </w:rPr>
        <w:t>4</w:t>
      </w:r>
      <w:r>
        <w:rPr>
          <w:rFonts w:ascii="宋体" w:hAnsi="宋体" w:eastAsia="宋体" w:cs="宋体"/>
          <w:b/>
          <w:bCs/>
          <w:kern w:val="2"/>
          <w:highlight w:val="yellow"/>
          <w:u w:color="000000"/>
          <w:lang w:eastAsia="zh-CN"/>
        </w:rPr>
        <w:t>.</w:t>
      </w:r>
      <w:r>
        <w:rPr>
          <w:rFonts w:hint="eastAsia" w:ascii="宋体" w:hAnsi="宋体" w:eastAsia="宋体" w:cs="宋体"/>
          <w:b/>
          <w:bCs/>
          <w:kern w:val="2"/>
          <w:highlight w:val="yellow"/>
          <w:u w:color="000000"/>
          <w:lang w:eastAsia="zh-CN"/>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（光盘）</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b/>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rPr>
          <w:rFonts w:ascii="宋体" w:hAnsi="宋体" w:eastAsia="宋体" w:cs="宋体"/>
          <w:b/>
          <w:bCs/>
          <w:color w:val="auto"/>
          <w:lang w:val="zh-TW"/>
        </w:rPr>
      </w:pPr>
      <w:bookmarkStart w:id="7" w:name="_Toc57632749"/>
      <w:r>
        <w:rPr>
          <w:rFonts w:hint="eastAsia" w:ascii="宋体" w:hAnsi="宋体" w:eastAsia="宋体" w:cs="宋体"/>
          <w:b/>
          <w:bCs/>
          <w:color w:val="auto"/>
          <w:lang w:val="zh-TW"/>
        </w:rPr>
        <w:t>六</w:t>
      </w:r>
      <w:r>
        <w:rPr>
          <w:rFonts w:ascii="宋体" w:hAnsi="宋体" w:eastAsia="宋体" w:cs="宋体"/>
          <w:b/>
          <w:bCs/>
          <w:color w:val="auto"/>
          <w:lang w:val="zh-TW" w:eastAsia="zh-TW"/>
        </w:rPr>
        <w:t>、项目需求书</w:t>
      </w:r>
      <w:bookmarkEnd w:id="7"/>
    </w:p>
    <w:p>
      <w:pPr>
        <w:ind w:firstLine="480" w:firstLineChars="200"/>
        <w:rPr>
          <w:rFonts w:ascii="宋体" w:hAnsi="宋体"/>
          <w:sz w:val="28"/>
          <w:szCs w:val="28"/>
          <w:lang w:eastAsia="zh-CN"/>
        </w:rPr>
      </w:pPr>
      <w:r>
        <w:rPr>
          <w:rFonts w:hint="eastAsia" w:ascii="宋体" w:hAnsi="宋体" w:eastAsia="宋体" w:cs="宋体"/>
          <w:kern w:val="2"/>
          <w:szCs w:val="20"/>
          <w:lang w:eastAsia="zh-CN"/>
        </w:rPr>
        <w:t> </w:t>
      </w:r>
      <w:r>
        <w:rPr>
          <w:rFonts w:hint="eastAsia" w:ascii="宋体" w:hAnsi="宋体"/>
          <w:sz w:val="28"/>
          <w:szCs w:val="28"/>
          <w:lang w:eastAsia="zh-CN"/>
        </w:rPr>
        <w:t>天津滨海职业学院院内，未列入物业零碎维修合同内的新增、新建、抢修、高空作业（指4米以上操作项目）、屋顶防水、地下管网、电网及额外产生的小型工程等。预算金额在20000元以内的日常抢修、维修小型工程项目。</w:t>
      </w:r>
    </w:p>
    <w:p>
      <w:pPr>
        <w:ind w:firstLine="560" w:firstLineChars="200"/>
        <w:rPr>
          <w:rFonts w:ascii="宋体" w:hAnsi="宋体"/>
          <w:sz w:val="28"/>
          <w:szCs w:val="28"/>
          <w:lang w:eastAsia="zh-CN"/>
        </w:rPr>
      </w:pPr>
      <w:r>
        <w:rPr>
          <w:rFonts w:hint="eastAsia" w:ascii="宋体" w:hAnsi="宋体"/>
          <w:sz w:val="28"/>
          <w:szCs w:val="28"/>
          <w:lang w:eastAsia="zh-CN"/>
        </w:rPr>
        <w:t>一、项目需求</w:t>
      </w:r>
    </w:p>
    <w:p>
      <w:pPr>
        <w:ind w:firstLine="560" w:firstLineChars="200"/>
        <w:rPr>
          <w:rFonts w:ascii="宋体" w:hAnsi="宋体"/>
          <w:sz w:val="28"/>
          <w:szCs w:val="28"/>
          <w:lang w:eastAsia="zh-CN"/>
        </w:rPr>
      </w:pPr>
      <w:r>
        <w:rPr>
          <w:rFonts w:hint="eastAsia" w:ascii="宋体" w:hAnsi="宋体"/>
          <w:sz w:val="28"/>
          <w:szCs w:val="28"/>
          <w:lang w:eastAsia="zh-CN"/>
        </w:rPr>
        <w:t>1.入围企业具备建筑安装、装饰装修、装卸搬运、机电设备安装维修类等资质。</w:t>
      </w:r>
    </w:p>
    <w:p>
      <w:pPr>
        <w:ind w:firstLine="560" w:firstLineChars="200"/>
        <w:rPr>
          <w:rFonts w:ascii="宋体" w:hAnsi="宋体"/>
          <w:sz w:val="28"/>
          <w:szCs w:val="28"/>
          <w:lang w:eastAsia="zh-CN"/>
        </w:rPr>
      </w:pPr>
      <w:r>
        <w:rPr>
          <w:rFonts w:hint="eastAsia" w:ascii="宋体" w:hAnsi="宋体"/>
          <w:sz w:val="28"/>
          <w:szCs w:val="28"/>
          <w:lang w:eastAsia="zh-CN"/>
        </w:rPr>
        <w:t>2.入围企业应具备独立预算造价能力。</w:t>
      </w:r>
    </w:p>
    <w:p>
      <w:pPr>
        <w:ind w:firstLine="560" w:firstLineChars="200"/>
        <w:rPr>
          <w:rFonts w:ascii="宋体" w:hAnsi="宋体"/>
          <w:sz w:val="28"/>
          <w:szCs w:val="28"/>
          <w:lang w:eastAsia="zh-CN"/>
        </w:rPr>
      </w:pPr>
      <w:r>
        <w:rPr>
          <w:rFonts w:hint="eastAsia" w:ascii="宋体" w:hAnsi="宋体"/>
          <w:sz w:val="28"/>
          <w:szCs w:val="28"/>
          <w:lang w:eastAsia="zh-CN"/>
        </w:rPr>
        <w:t>3.入围企业具有固定的施工人员，能独立完成应急抢修工程（24小时响应）。</w:t>
      </w:r>
    </w:p>
    <w:p>
      <w:pPr>
        <w:ind w:firstLine="560" w:firstLineChars="200"/>
        <w:rPr>
          <w:rFonts w:ascii="宋体" w:hAnsi="宋体"/>
          <w:sz w:val="28"/>
          <w:szCs w:val="28"/>
          <w:lang w:eastAsia="zh-CN"/>
        </w:rPr>
      </w:pPr>
      <w:r>
        <w:rPr>
          <w:rFonts w:hint="eastAsia" w:ascii="宋体" w:hAnsi="宋体"/>
          <w:sz w:val="28"/>
          <w:szCs w:val="28"/>
          <w:lang w:eastAsia="zh-CN"/>
        </w:rPr>
        <w:t>4.入围企业应随时响应学院应急抢修工程，按照要求 1小时内到达学院参与抢修报价工作。</w:t>
      </w:r>
    </w:p>
    <w:p>
      <w:pPr>
        <w:ind w:firstLine="560" w:firstLineChars="200"/>
        <w:rPr>
          <w:rFonts w:ascii="宋体" w:hAnsi="宋体"/>
          <w:sz w:val="28"/>
          <w:szCs w:val="28"/>
          <w:lang w:eastAsia="zh-CN"/>
        </w:rPr>
      </w:pPr>
      <w:r>
        <w:rPr>
          <w:rFonts w:hint="eastAsia" w:ascii="宋体" w:hAnsi="宋体"/>
          <w:sz w:val="28"/>
          <w:szCs w:val="28"/>
          <w:lang w:eastAsia="zh-CN"/>
        </w:rPr>
        <w:t>二、预算金额：0元</w:t>
      </w:r>
    </w:p>
    <w:p>
      <w:pPr>
        <w:ind w:firstLine="560" w:firstLineChars="200"/>
        <w:rPr>
          <w:rFonts w:ascii="宋体" w:hAnsi="宋体"/>
          <w:sz w:val="28"/>
          <w:szCs w:val="28"/>
          <w:lang w:eastAsia="zh-CN"/>
        </w:rPr>
      </w:pPr>
      <w:r>
        <w:rPr>
          <w:rFonts w:hint="eastAsia" w:ascii="宋体" w:hAnsi="宋体"/>
          <w:sz w:val="28"/>
          <w:szCs w:val="28"/>
          <w:lang w:eastAsia="zh-CN"/>
        </w:rPr>
        <w:t>三、合同期限：3年</w:t>
      </w:r>
    </w:p>
    <w:p>
      <w:pPr>
        <w:ind w:firstLine="560" w:firstLineChars="200"/>
        <w:rPr>
          <w:rFonts w:ascii="宋体" w:hAnsi="宋体"/>
          <w:sz w:val="28"/>
          <w:szCs w:val="28"/>
          <w:lang w:eastAsia="zh-CN"/>
        </w:rPr>
      </w:pPr>
      <w:r>
        <w:rPr>
          <w:rFonts w:hint="eastAsia" w:ascii="宋体" w:hAnsi="宋体"/>
          <w:sz w:val="28"/>
          <w:szCs w:val="28"/>
          <w:lang w:eastAsia="zh-CN"/>
        </w:rPr>
        <w:t>四、入围企业数量</w:t>
      </w:r>
    </w:p>
    <w:p>
      <w:pPr>
        <w:ind w:firstLine="560" w:firstLineChars="200"/>
        <w:rPr>
          <w:rFonts w:ascii="宋体" w:hAnsi="宋体"/>
          <w:sz w:val="28"/>
          <w:szCs w:val="28"/>
          <w:lang w:eastAsia="zh-CN"/>
        </w:rPr>
      </w:pPr>
      <w:r>
        <w:rPr>
          <w:rFonts w:hint="eastAsia" w:ascii="宋体" w:hAnsi="宋体"/>
          <w:sz w:val="28"/>
          <w:szCs w:val="28"/>
          <w:lang w:eastAsia="zh-CN"/>
        </w:rPr>
        <w:t>学院拟招日常抢修、维修小型工程入围企业5家。</w:t>
      </w:r>
    </w:p>
    <w:p>
      <w:pPr>
        <w:ind w:firstLine="482" w:firstLineChars="200"/>
        <w:rPr>
          <w:rFonts w:asciiTheme="minorEastAsia" w:hAnsiTheme="minorEastAsia"/>
          <w:b/>
          <w:kern w:val="2"/>
          <w:lang w:eastAsia="zh-CN"/>
        </w:rPr>
      </w:pPr>
      <w:r>
        <w:rPr>
          <w:rFonts w:hint="eastAsia" w:asciiTheme="minorEastAsia" w:hAnsiTheme="minorEastAsia"/>
          <w:b/>
          <w:kern w:val="2"/>
          <w:lang w:eastAsia="zh-CN"/>
        </w:rPr>
        <w:t>注：</w:t>
      </w:r>
      <w:bookmarkStart w:id="11" w:name="_GoBack"/>
      <w:bookmarkEnd w:id="11"/>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6840" w:h="11900" w:orient="landscape"/>
          <w:pgMar w:top="1440" w:right="1440" w:bottom="1440" w:left="1440" w:header="851" w:footer="454" w:gutter="0"/>
          <w:cols w:space="720" w:num="1"/>
          <w:docGrid w:linePitch="326" w:charSpace="0"/>
        </w:sectPr>
      </w:pPr>
    </w:p>
    <w:p>
      <w:pPr>
        <w:pStyle w:val="4"/>
        <w:ind w:firstLine="562"/>
        <w:rPr>
          <w:rStyle w:val="77"/>
          <w:rFonts w:ascii="宋体" w:hAnsi="宋体" w:eastAsia="宋体" w:cs="宋体"/>
          <w:color w:val="auto"/>
          <w:sz w:val="28"/>
          <w:szCs w:val="28"/>
        </w:rPr>
      </w:pPr>
      <w:bookmarkStart w:id="8" w:name="_Toc21"/>
      <w:bookmarkStart w:id="9" w:name="_Toc57632759"/>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8"/>
      <w:bookmarkEnd w:id="9"/>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（光盘）</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0"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0"/>
    <w:p>
      <w:pPr>
        <w:tabs>
          <w:tab w:val="left" w:pos="360"/>
        </w:tabs>
        <w:spacing w:line="460" w:lineRule="exact"/>
        <w:ind w:firstLine="482"/>
        <w:jc w:val="center"/>
        <w:rPr>
          <w:rFonts w:ascii="宋体" w:hAnsi="宋体" w:cs="宋体"/>
          <w:b/>
          <w:bCs/>
          <w:u w:color="000000"/>
          <w:lang w:val="zh-TW" w:eastAsia="zh-CN"/>
        </w:rPr>
      </w:pPr>
      <w:r>
        <w:rPr>
          <w:rFonts w:hint="eastAsia" w:ascii="宋体" w:hAnsi="宋体" w:cs="宋体"/>
          <w:b/>
          <w:bCs/>
          <w:u w:color="000000"/>
          <w:lang w:val="zh-TW" w:eastAsia="zh-CN"/>
        </w:rPr>
        <w:t>相关资质</w:t>
      </w:r>
    </w:p>
    <w:p>
      <w:pPr>
        <w:tabs>
          <w:tab w:val="left" w:pos="360"/>
        </w:tabs>
        <w:spacing w:line="460" w:lineRule="exact"/>
        <w:ind w:firstLine="482"/>
        <w:jc w:val="center"/>
        <w:rPr>
          <w:rFonts w:ascii="宋体" w:hAnsi="宋体" w:cs="宋体"/>
          <w:b/>
          <w:bCs/>
          <w:u w:color="000000"/>
          <w:lang w:val="zh-TW" w:eastAsia="zh-CN"/>
        </w:rPr>
      </w:pPr>
    </w:p>
    <w:p>
      <w:pPr>
        <w:rPr>
          <w:rFonts w:ascii="宋体" w:hAnsi="宋体" w:eastAsia="宋体" w:cs="宋体"/>
          <w:b/>
          <w:bCs/>
          <w:kern w:val="2"/>
          <w:u w:color="000000"/>
          <w:lang w:val="zh-TW" w:eastAsia="zh-TW"/>
        </w:rPr>
      </w:pPr>
      <w:r>
        <w:rPr>
          <w:rFonts w:ascii="宋体" w:hAnsi="宋体" w:eastAsia="宋体" w:cs="宋体"/>
          <w:b/>
          <w:bCs/>
          <w:kern w:val="2"/>
          <w:u w:color="000000"/>
          <w:lang w:val="zh-TW" w:eastAsia="zh-TW"/>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ind w:firstLine="6600" w:firstLineChars="2750"/>
        <w:jc w:val="both"/>
        <w:rPr>
          <w:rFonts w:eastAsia="宋体"/>
          <w:kern w:val="2"/>
          <w:sz w:val="21"/>
          <w:lang w:eastAsia="zh-CN"/>
        </w:rPr>
      </w:pPr>
      <w:r>
        <w:rPr>
          <w:rFonts w:ascii="宋体" w:hAnsi="宋体" w:eastAsia="宋体" w:cs="宋体"/>
          <w:kern w:val="2"/>
          <w:u w:color="000000"/>
          <w:lang w:eastAsia="zh-CN"/>
        </w:rPr>
        <w:br w:type="page"/>
      </w:r>
    </w:p>
    <w:p>
      <w:pPr>
        <w:pStyle w:val="2"/>
        <w:rPr>
          <w:lang w:val="en-US"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6</w:t>
        </w:r>
        <w: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21</w:t>
        </w:r>
        <w: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6DF766CF"/>
    <w:multiLevelType w:val="multilevel"/>
    <w:tmpl w:val="6DF766C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MzBlZDc3MDI2OTk3MDA2OTkxMmIxODA4NzUwMTY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6CD"/>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BF4"/>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5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0F4E"/>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25A"/>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39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70F"/>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532"/>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320D"/>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514"/>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27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9AC"/>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A66"/>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7A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82A"/>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0902"/>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65E"/>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5E9"/>
    <w:rsid w:val="00CD27A1"/>
    <w:rsid w:val="00CD328B"/>
    <w:rsid w:val="00CD3A9A"/>
    <w:rsid w:val="00CD3C6E"/>
    <w:rsid w:val="00CD4134"/>
    <w:rsid w:val="00CD6A1D"/>
    <w:rsid w:val="00CE086F"/>
    <w:rsid w:val="00CE1972"/>
    <w:rsid w:val="00CE1A48"/>
    <w:rsid w:val="00CE1AC7"/>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571D"/>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A77"/>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AE1"/>
    <w:rsid w:val="00E33F12"/>
    <w:rsid w:val="00E34628"/>
    <w:rsid w:val="00E346A0"/>
    <w:rsid w:val="00E3546C"/>
    <w:rsid w:val="00E369A9"/>
    <w:rsid w:val="00E36B06"/>
    <w:rsid w:val="00E378DF"/>
    <w:rsid w:val="00E40EB6"/>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0E52"/>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3A55"/>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CD4"/>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66A250B"/>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10698"/>
    <w:rsid w:val="6CD419B4"/>
    <w:rsid w:val="710A29F4"/>
    <w:rsid w:val="73DE3BAE"/>
    <w:rsid w:val="746F754F"/>
    <w:rsid w:val="7A906445"/>
    <w:rsid w:val="7A913F7E"/>
    <w:rsid w:val="7AB528AE"/>
    <w:rsid w:val="7D4E0818"/>
    <w:rsid w:val="7DAA3B53"/>
    <w:rsid w:val="7DE64367"/>
    <w:rsid w:val="7FCA2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99"/>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Char"/>
    <w:basedOn w:val="60"/>
    <w:link w:val="39"/>
    <w:qFormat/>
    <w:uiPriority w:val="0"/>
    <w:rPr>
      <w:sz w:val="18"/>
      <w:szCs w:val="18"/>
      <w:lang w:eastAsia="en-US"/>
    </w:rPr>
  </w:style>
  <w:style w:type="character" w:customStyle="1" w:styleId="82">
    <w:name w:val="页脚 Char"/>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Char"/>
    <w:basedOn w:val="60"/>
    <w:link w:val="37"/>
    <w:qFormat/>
    <w:uiPriority w:val="0"/>
    <w:rPr>
      <w:sz w:val="18"/>
      <w:szCs w:val="18"/>
      <w:lang w:eastAsia="en-US"/>
    </w:rPr>
  </w:style>
  <w:style w:type="character" w:customStyle="1" w:styleId="85">
    <w:name w:val="正文文本缩进 3 Char"/>
    <w:basedOn w:val="60"/>
    <w:link w:val="47"/>
    <w:qFormat/>
    <w:uiPriority w:val="0"/>
    <w:rPr>
      <w:sz w:val="16"/>
      <w:szCs w:val="16"/>
      <w:lang w:eastAsia="en-US"/>
    </w:rPr>
  </w:style>
  <w:style w:type="character" w:customStyle="1" w:styleId="86">
    <w:name w:val="正文文本缩进 2 Char"/>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Char"/>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qFormat/>
    <w:uiPriority w:val="0"/>
    <w:tblPr>
      <w:tblCellMar>
        <w:top w:w="0" w:type="dxa"/>
        <w:left w:w="0" w:type="dxa"/>
        <w:bottom w:w="0" w:type="dxa"/>
        <w:right w:w="0" w:type="dxa"/>
      </w:tblCellMar>
    </w:tblPr>
  </w:style>
  <w:style w:type="table" w:customStyle="1" w:styleId="108">
    <w:name w:val="Table Normal21"/>
    <w:qFormat/>
    <w:uiPriority w:val="0"/>
    <w:tblPr>
      <w:tblCellMar>
        <w:top w:w="0" w:type="dxa"/>
        <w:left w:w="0" w:type="dxa"/>
        <w:bottom w:w="0" w:type="dxa"/>
        <w:right w:w="0" w:type="dxa"/>
      </w:tblCellMar>
    </w:tblPr>
  </w:style>
  <w:style w:type="table" w:customStyle="1" w:styleId="109">
    <w:name w:val="Table Normal31"/>
    <w:qFormat/>
    <w:uiPriority w:val="0"/>
    <w:tblPr>
      <w:tblCellMar>
        <w:top w:w="0" w:type="dxa"/>
        <w:left w:w="0" w:type="dxa"/>
        <w:bottom w:w="0" w:type="dxa"/>
        <w:right w:w="0" w:type="dxa"/>
      </w:tblCellMar>
    </w:tblPr>
  </w:style>
  <w:style w:type="character" w:customStyle="1" w:styleId="110">
    <w:name w:val="标题 4 Char"/>
    <w:basedOn w:val="60"/>
    <w:link w:val="8"/>
    <w:qFormat/>
    <w:uiPriority w:val="9"/>
    <w:rPr>
      <w:rFonts w:ascii="Arial" w:hAnsi="Arial" w:eastAsia="黑体"/>
      <w:b/>
      <w:kern w:val="2"/>
      <w:sz w:val="28"/>
      <w:szCs w:val="24"/>
    </w:rPr>
  </w:style>
  <w:style w:type="character" w:customStyle="1" w:styleId="111">
    <w:name w:val="标题 5 Char"/>
    <w:basedOn w:val="60"/>
    <w:link w:val="9"/>
    <w:qFormat/>
    <w:uiPriority w:val="9"/>
    <w:rPr>
      <w:rFonts w:ascii="Times New Roman" w:hAnsi="Times New Roman" w:eastAsia="宋体"/>
      <w:b/>
      <w:kern w:val="2"/>
      <w:sz w:val="28"/>
      <w:szCs w:val="24"/>
    </w:rPr>
  </w:style>
  <w:style w:type="character" w:customStyle="1" w:styleId="112">
    <w:name w:val="标题 6 Char"/>
    <w:basedOn w:val="60"/>
    <w:link w:val="10"/>
    <w:qFormat/>
    <w:uiPriority w:val="9"/>
    <w:rPr>
      <w:rFonts w:ascii="Arial" w:hAnsi="Arial" w:eastAsia="黑体"/>
      <w:b/>
      <w:kern w:val="2"/>
      <w:sz w:val="24"/>
      <w:szCs w:val="24"/>
    </w:rPr>
  </w:style>
  <w:style w:type="character" w:customStyle="1" w:styleId="113">
    <w:name w:val="标题 7 Char"/>
    <w:basedOn w:val="60"/>
    <w:link w:val="11"/>
    <w:semiHidden/>
    <w:qFormat/>
    <w:uiPriority w:val="9"/>
    <w:rPr>
      <w:rFonts w:ascii="Times New Roman" w:hAnsi="Times New Roman" w:eastAsia="宋体"/>
      <w:b/>
      <w:kern w:val="2"/>
      <w:sz w:val="24"/>
      <w:szCs w:val="24"/>
    </w:rPr>
  </w:style>
  <w:style w:type="character" w:customStyle="1" w:styleId="114">
    <w:name w:val="标题 8 Char"/>
    <w:basedOn w:val="60"/>
    <w:link w:val="12"/>
    <w:semiHidden/>
    <w:qFormat/>
    <w:uiPriority w:val="9"/>
    <w:rPr>
      <w:rFonts w:ascii="Arial" w:hAnsi="Arial" w:eastAsia="黑体"/>
      <w:kern w:val="2"/>
      <w:sz w:val="24"/>
      <w:szCs w:val="24"/>
    </w:rPr>
  </w:style>
  <w:style w:type="character" w:customStyle="1" w:styleId="115">
    <w:name w:val="标题 9 Char"/>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Char"/>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Char1"/>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Char"/>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Char"/>
    <w:basedOn w:val="60"/>
    <w:link w:val="45"/>
    <w:qFormat/>
    <w:uiPriority w:val="0"/>
    <w:rPr>
      <w:rFonts w:ascii="Times New Roman" w:hAnsi="Times New Roman" w:eastAsia="宋体"/>
      <w:kern w:val="2"/>
      <w:sz w:val="18"/>
      <w:szCs w:val="24"/>
    </w:rPr>
  </w:style>
  <w:style w:type="character" w:customStyle="1" w:styleId="148">
    <w:name w:val="批注文字 Char"/>
    <w:basedOn w:val="60"/>
    <w:link w:val="22"/>
    <w:qFormat/>
    <w:uiPriority w:val="99"/>
    <w:rPr>
      <w:rFonts w:ascii="Times New Roman" w:hAnsi="Times New Roman" w:eastAsia="宋体"/>
      <w:kern w:val="2"/>
      <w:sz w:val="21"/>
      <w:szCs w:val="24"/>
    </w:rPr>
  </w:style>
  <w:style w:type="character" w:customStyle="1" w:styleId="149">
    <w:name w:val="尾注文本 Char"/>
    <w:basedOn w:val="60"/>
    <w:link w:val="36"/>
    <w:semiHidden/>
    <w:qFormat/>
    <w:uiPriority w:val="99"/>
    <w:rPr>
      <w:rFonts w:ascii="Times New Roman" w:hAnsi="Times New Roman" w:eastAsia="宋体"/>
      <w:kern w:val="2"/>
      <w:sz w:val="21"/>
      <w:szCs w:val="24"/>
    </w:rPr>
  </w:style>
  <w:style w:type="character" w:customStyle="1" w:styleId="150">
    <w:name w:val="宏文本 Char"/>
    <w:basedOn w:val="60"/>
    <w:link w:val="3"/>
    <w:semiHidden/>
    <w:qFormat/>
    <w:uiPriority w:val="99"/>
    <w:rPr>
      <w:rFonts w:ascii="Courier New" w:hAnsi="Courier New" w:eastAsia="宋体"/>
      <w:kern w:val="2"/>
      <w:sz w:val="24"/>
    </w:rPr>
  </w:style>
  <w:style w:type="character" w:customStyle="1" w:styleId="151">
    <w:name w:val="标题 Char"/>
    <w:basedOn w:val="60"/>
    <w:link w:val="54"/>
    <w:qFormat/>
    <w:uiPriority w:val="10"/>
    <w:rPr>
      <w:rFonts w:ascii="Arial" w:hAnsi="Arial" w:eastAsia="宋体"/>
      <w:b/>
      <w:kern w:val="2"/>
      <w:sz w:val="32"/>
      <w:szCs w:val="24"/>
    </w:rPr>
  </w:style>
  <w:style w:type="character" w:customStyle="1" w:styleId="152">
    <w:name w:val="结束语 Char"/>
    <w:basedOn w:val="60"/>
    <w:link w:val="24"/>
    <w:semiHidden/>
    <w:qFormat/>
    <w:uiPriority w:val="99"/>
    <w:rPr>
      <w:rFonts w:ascii="Times New Roman" w:hAnsi="Times New Roman" w:eastAsia="宋体"/>
      <w:kern w:val="2"/>
      <w:sz w:val="21"/>
      <w:szCs w:val="24"/>
    </w:rPr>
  </w:style>
  <w:style w:type="character" w:customStyle="1" w:styleId="153">
    <w:name w:val="签名 Char"/>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Char"/>
    <w:basedOn w:val="60"/>
    <w:link w:val="26"/>
    <w:qFormat/>
    <w:uiPriority w:val="0"/>
    <w:rPr>
      <w:rFonts w:ascii="Times New Roman" w:hAnsi="Times New Roman" w:eastAsia="宋体"/>
      <w:kern w:val="2"/>
      <w:sz w:val="21"/>
      <w:szCs w:val="24"/>
    </w:rPr>
  </w:style>
  <w:style w:type="character" w:customStyle="1" w:styleId="156">
    <w:name w:val="信息标题 Char"/>
    <w:basedOn w:val="60"/>
    <w:link w:val="51"/>
    <w:semiHidden/>
    <w:qFormat/>
    <w:uiPriority w:val="99"/>
    <w:rPr>
      <w:rFonts w:ascii="Arial" w:hAnsi="Arial" w:eastAsia="宋体"/>
      <w:kern w:val="2"/>
      <w:sz w:val="24"/>
      <w:szCs w:val="24"/>
      <w:shd w:val="pct20" w:color="auto" w:fill="auto"/>
    </w:rPr>
  </w:style>
  <w:style w:type="character" w:customStyle="1" w:styleId="157">
    <w:name w:val="副标题 Char"/>
    <w:basedOn w:val="60"/>
    <w:link w:val="43"/>
    <w:qFormat/>
    <w:uiPriority w:val="11"/>
    <w:rPr>
      <w:rFonts w:ascii="Arial" w:hAnsi="Arial" w:eastAsia="宋体"/>
      <w:b/>
      <w:kern w:val="28"/>
      <w:sz w:val="32"/>
      <w:szCs w:val="24"/>
    </w:rPr>
  </w:style>
  <w:style w:type="character" w:customStyle="1" w:styleId="158">
    <w:name w:val="称呼 Char"/>
    <w:basedOn w:val="60"/>
    <w:link w:val="23"/>
    <w:semiHidden/>
    <w:qFormat/>
    <w:uiPriority w:val="99"/>
    <w:rPr>
      <w:rFonts w:ascii="Times New Roman" w:hAnsi="Times New Roman" w:eastAsia="宋体"/>
      <w:kern w:val="2"/>
      <w:sz w:val="21"/>
      <w:szCs w:val="24"/>
    </w:rPr>
  </w:style>
  <w:style w:type="character" w:customStyle="1" w:styleId="159">
    <w:name w:val="日期 Char"/>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Char3"/>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首行缩进 Char"/>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首行缩进 2 Char"/>
    <w:basedOn w:val="155"/>
    <w:link w:val="57"/>
    <w:qFormat/>
    <w:uiPriority w:val="99"/>
    <w:rPr>
      <w:rFonts w:ascii="Calibri" w:hAnsi="Calibri" w:eastAsia="宋体"/>
      <w:kern w:val="2"/>
      <w:sz w:val="21"/>
      <w:szCs w:val="22"/>
    </w:rPr>
  </w:style>
  <w:style w:type="character" w:customStyle="1" w:styleId="163">
    <w:name w:val="注释标题 Char"/>
    <w:basedOn w:val="60"/>
    <w:link w:val="16"/>
    <w:semiHidden/>
    <w:qFormat/>
    <w:uiPriority w:val="99"/>
    <w:rPr>
      <w:rFonts w:ascii="Times New Roman" w:hAnsi="Times New Roman" w:eastAsia="宋体"/>
      <w:kern w:val="2"/>
      <w:sz w:val="21"/>
      <w:szCs w:val="24"/>
    </w:rPr>
  </w:style>
  <w:style w:type="character" w:customStyle="1" w:styleId="164">
    <w:name w:val="文档结构图 Char"/>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Char"/>
    <w:basedOn w:val="60"/>
    <w:link w:val="17"/>
    <w:semiHidden/>
    <w:qFormat/>
    <w:uiPriority w:val="99"/>
    <w:rPr>
      <w:rFonts w:ascii="Times New Roman" w:hAnsi="Times New Roman" w:eastAsia="宋体"/>
      <w:kern w:val="2"/>
      <w:sz w:val="21"/>
      <w:szCs w:val="24"/>
    </w:rPr>
  </w:style>
  <w:style w:type="character" w:customStyle="1" w:styleId="166">
    <w:name w:val="HTML 地址 Char"/>
    <w:basedOn w:val="60"/>
    <w:link w:val="28"/>
    <w:semiHidden/>
    <w:qFormat/>
    <w:uiPriority w:val="99"/>
    <w:rPr>
      <w:rFonts w:ascii="Times New Roman" w:hAnsi="Times New Roman" w:eastAsia="宋体"/>
      <w:i/>
      <w:kern w:val="2"/>
      <w:sz w:val="21"/>
      <w:szCs w:val="24"/>
    </w:rPr>
  </w:style>
  <w:style w:type="character" w:customStyle="1" w:styleId="167">
    <w:name w:val="HTML 预设格式 Char"/>
    <w:basedOn w:val="60"/>
    <w:link w:val="52"/>
    <w:semiHidden/>
    <w:qFormat/>
    <w:uiPriority w:val="99"/>
    <w:rPr>
      <w:rFonts w:ascii="Courier New" w:hAnsi="Courier New" w:eastAsia="宋体"/>
      <w:kern w:val="2"/>
      <w:szCs w:val="24"/>
    </w:rPr>
  </w:style>
  <w:style w:type="character" w:customStyle="1" w:styleId="168">
    <w:name w:val="批注主题 Char"/>
    <w:basedOn w:val="148"/>
    <w:link w:val="55"/>
    <w:qFormat/>
    <w:uiPriority w:val="99"/>
    <w:rPr>
      <w:rFonts w:ascii="Times New Roman" w:hAnsi="Times New Roman" w:eastAsia="宋体"/>
      <w:b/>
      <w:kern w:val="2"/>
      <w:sz w:val="21"/>
      <w:szCs w:val="24"/>
    </w:rPr>
  </w:style>
  <w:style w:type="paragraph" w:customStyle="1" w:styleId="169">
    <w:name w:val="_Style 6"/>
    <w:basedOn w:val="1"/>
    <w:qFormat/>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qFormat/>
    <w:uiPriority w:val="0"/>
    <w:tblPr>
      <w:tblCellMar>
        <w:top w:w="0" w:type="dxa"/>
        <w:left w:w="0" w:type="dxa"/>
        <w:bottom w:w="0" w:type="dxa"/>
        <w:right w:w="0" w:type="dxa"/>
      </w:tblCellMar>
    </w:tblPr>
  </w:style>
  <w:style w:type="table" w:customStyle="1" w:styleId="229">
    <w:name w:val="Table Normal2121"/>
    <w:qFormat/>
    <w:uiPriority w:val="0"/>
    <w:tblPr>
      <w:tblCellMar>
        <w:top w:w="0" w:type="dxa"/>
        <w:left w:w="0" w:type="dxa"/>
        <w:bottom w:w="0" w:type="dxa"/>
        <w:right w:w="0" w:type="dxa"/>
      </w:tblCellMar>
    </w:tblPr>
  </w:style>
  <w:style w:type="table" w:customStyle="1" w:styleId="230">
    <w:name w:val="Table Normal3121"/>
    <w:qFormat/>
    <w:uiPriority w:val="0"/>
    <w:tblPr>
      <w:tblCellMar>
        <w:top w:w="0" w:type="dxa"/>
        <w:left w:w="0" w:type="dxa"/>
        <w:bottom w:w="0" w:type="dxa"/>
        <w:right w:w="0" w:type="dxa"/>
      </w:tblCellMar>
    </w:tblPr>
  </w:style>
  <w:style w:type="table" w:customStyle="1" w:styleId="231">
    <w:name w:val="网格型61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网格型15"/>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出段落 Char"/>
    <w:link w:val="94"/>
    <w:qFormat/>
    <w:uiPriority w:val="34"/>
    <w:rPr>
      <w:rFonts w:eastAsiaTheme="minorEastAsia"/>
      <w:sz w:val="24"/>
      <w:szCs w:val="24"/>
      <w:lang w:eastAsia="en-US"/>
    </w:rPr>
  </w:style>
  <w:style w:type="character" w:customStyle="1" w:styleId="259">
    <w:name w:val="正文文本 2 Char1"/>
    <w:basedOn w:val="60"/>
    <w:link w:val="50"/>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Char2"/>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qFormat/>
    <w:uiPriority w:val="0"/>
    <w:rPr>
      <w:u w:val="single"/>
    </w:rPr>
  </w:style>
  <w:style w:type="character" w:customStyle="1" w:styleId="329">
    <w:name w:val="10"/>
    <w:qFormat/>
    <w:uiPriority w:val="0"/>
    <w:rPr>
      <w:rFonts w:hint="default" w:ascii="Times New Roman" w:hAnsi="Times New Roman" w:cs="Times New Roman"/>
    </w:rPr>
  </w:style>
  <w:style w:type="paragraph" w:customStyle="1" w:styleId="330">
    <w:name w:val="p18"/>
    <w:basedOn w:val="1"/>
    <w:qFormat/>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qFormat/>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qFormat/>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qFormat/>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qFormat/>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Char"/>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Char"/>
    <w:basedOn w:val="60"/>
    <w:link w:val="337"/>
    <w:qFormat/>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AC1E0-33F8-485B-BD8F-4D8F93977454}">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27</Pages>
  <Words>5620</Words>
  <Characters>5948</Characters>
  <Lines>54</Lines>
  <Paragraphs>15</Paragraphs>
  <TotalTime>123</TotalTime>
  <ScaleCrop>false</ScaleCrop>
  <LinksUpToDate>false</LinksUpToDate>
  <CharactersWithSpaces>6543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2022-06-30T06:26:00Z</dcterms:created>
  <dc:creator>dell</dc:creator>
  <cp:lastModifiedBy>星冰乐</cp:lastModifiedBy>
  <cp:lastPrinted>2021-07-26T05:44:00Z</cp:lastPrinted>
  <dcterms:modified xsi:type="dcterms:W3CDTF">2022-08-27T08:24:25Z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A0BD470AAA61491C84A1C142E23B8A77</vt:lpwstr>
  </property>
</Properties>
</file>